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2C" w:rsidRPr="00884774" w:rsidRDefault="00943E2C" w:rsidP="00943E2C">
      <w:pPr>
        <w:pStyle w:val="Heading1"/>
        <w:rPr>
          <w:rFonts w:asciiTheme="minorHAnsi" w:hAnsiTheme="minorHAnsi"/>
          <w:b/>
          <w:sz w:val="22"/>
          <w:szCs w:val="22"/>
        </w:rPr>
      </w:pPr>
      <w:r w:rsidRPr="00884774">
        <w:rPr>
          <w:rFonts w:asciiTheme="minorHAnsi" w:hAnsiTheme="minorHAnsi"/>
          <w:b/>
          <w:sz w:val="22"/>
          <w:szCs w:val="22"/>
        </w:rPr>
        <w:t>About DuPont Nutrition and Health (N&amp;H)</w:t>
      </w:r>
    </w:p>
    <w:p w:rsidR="00943E2C" w:rsidRPr="00E25B18" w:rsidRDefault="00943E2C" w:rsidP="00943E2C">
      <w:pPr>
        <w:pStyle w:val="GSPNormal"/>
        <w:rPr>
          <w:rStyle w:val="Hyperlink"/>
          <w:rFonts w:asciiTheme="minorHAnsi" w:hAnsiTheme="minorHAnsi"/>
          <w:sz w:val="22"/>
          <w:szCs w:val="22"/>
          <w:lang w:val="en"/>
        </w:rPr>
      </w:pPr>
      <w:r w:rsidRPr="00E25B18">
        <w:rPr>
          <w:rFonts w:asciiTheme="minorHAnsi" w:hAnsiTheme="minorHAnsi"/>
          <w:b/>
          <w:sz w:val="22"/>
          <w:szCs w:val="22"/>
        </w:rPr>
        <w:t>DuPont</w:t>
      </w:r>
      <w:r w:rsidRPr="00E25B18">
        <w:rPr>
          <w:rFonts w:asciiTheme="minorHAnsi" w:hAnsiTheme="minorHAnsi"/>
          <w:sz w:val="22"/>
          <w:szCs w:val="22"/>
        </w:rPr>
        <w:t xml:space="preserve"> is a globally listed company headquartered in Delaware, in the US. The company is a science-based innovation leader across different industries and segments, which includes agriculture, electronics, food and nutrition, bioscience and chemicals. </w:t>
      </w:r>
      <w:r w:rsidRPr="00E25B18">
        <w:rPr>
          <w:rStyle w:val="Hyperlink"/>
          <w:rFonts w:asciiTheme="minorHAnsi" w:hAnsiTheme="minorHAnsi"/>
          <w:sz w:val="22"/>
          <w:szCs w:val="22"/>
          <w:lang w:val="en"/>
        </w:rPr>
        <w:t xml:space="preserve">In 2015, the company generated a turnover of USD +25 billion and employed more than 50,000 FTEs.   </w:t>
      </w:r>
    </w:p>
    <w:p w:rsidR="00943E2C" w:rsidRPr="00E25B18" w:rsidRDefault="00943E2C" w:rsidP="00943E2C">
      <w:pPr>
        <w:pStyle w:val="GSPNormal"/>
        <w:rPr>
          <w:rStyle w:val="Hyperlink"/>
          <w:rFonts w:asciiTheme="minorHAnsi" w:hAnsiTheme="minorHAnsi"/>
          <w:sz w:val="22"/>
          <w:szCs w:val="22"/>
          <w:lang w:val="en"/>
        </w:rPr>
      </w:pPr>
    </w:p>
    <w:p w:rsidR="00943E2C" w:rsidRPr="00E25B18" w:rsidRDefault="00943E2C" w:rsidP="00943E2C">
      <w:pPr>
        <w:spacing w:line="240" w:lineRule="auto"/>
        <w:jc w:val="both"/>
        <w:rPr>
          <w:rFonts w:cs="Arial"/>
          <w:lang w:val="en-US"/>
        </w:rPr>
      </w:pPr>
      <w:r w:rsidRPr="00E25B18">
        <w:rPr>
          <w:rFonts w:cs="Arial"/>
          <w:b/>
          <w:lang w:val="en-US"/>
        </w:rPr>
        <w:t>DuPont Nutrition &amp; Health (N&amp;H)</w:t>
      </w:r>
      <w:r w:rsidRPr="00E25B18">
        <w:rPr>
          <w:rFonts w:cs="Arial"/>
          <w:lang w:val="en-US"/>
        </w:rPr>
        <w:t xml:space="preserve"> is a $3.5 billion world leader in the food industry with a diverse portfolio of products and solutions that provide a winning mix of ingredients for the benefit of our customers and consumers worldwide.  </w:t>
      </w:r>
    </w:p>
    <w:p w:rsidR="00943E2C" w:rsidRPr="00E25B18" w:rsidRDefault="00943E2C" w:rsidP="00943E2C">
      <w:pPr>
        <w:jc w:val="both"/>
        <w:rPr>
          <w:lang w:val="en-US"/>
        </w:rPr>
      </w:pPr>
      <w:r w:rsidRPr="00E25B18">
        <w:rPr>
          <w:lang w:val="en-US"/>
        </w:rPr>
        <w:t>N&amp;H brings together leadership in scientific capabilities, clinical research, food ingredients, consumer insights, industry and local market knowledge, depth of expertise, and a strong global network.  N&amp;H has more than 7,000 employees, 50 manufacturing sites and 20 research and innovation centers worldwide – all committed to keeping a pulse on global trends, working locally with customers and finding new solutions to make food safer, more sustainable, better tasting and more nutritious.</w:t>
      </w:r>
    </w:p>
    <w:p w:rsidR="00943E2C" w:rsidRPr="00E25B18" w:rsidRDefault="00943E2C" w:rsidP="00943E2C">
      <w:pPr>
        <w:spacing w:line="240" w:lineRule="auto"/>
        <w:jc w:val="both"/>
        <w:rPr>
          <w:rFonts w:cs="Arial"/>
          <w:lang w:val="en-US"/>
        </w:rPr>
      </w:pPr>
      <w:r w:rsidRPr="00E25B18">
        <w:rPr>
          <w:rFonts w:cs="Arial"/>
          <w:lang w:val="en-US"/>
        </w:rPr>
        <w:t>DuPont N&amp;H is uniquely positioned to help address the world’s food challenges by bringing science-based solutions to local customers all across the food value chain, from the agricultural input to food manufacturing. The world’s fast-growing population brings very diverse challenges, with a part of the world facing the health challenges of too much food, while parts of the world population are still undernourished, and the rise of a middle-class in newly developed countries.</w:t>
      </w:r>
    </w:p>
    <w:p w:rsidR="00943E2C" w:rsidRPr="00E25B18" w:rsidRDefault="00943E2C" w:rsidP="00943E2C">
      <w:pPr>
        <w:spacing w:line="240" w:lineRule="auto"/>
        <w:jc w:val="both"/>
        <w:rPr>
          <w:rFonts w:cs="Arial"/>
          <w:lang w:val="en-US"/>
        </w:rPr>
      </w:pPr>
      <w:r w:rsidRPr="00E25B18">
        <w:rPr>
          <w:rFonts w:cs="Arial"/>
          <w:lang w:val="en-US"/>
        </w:rPr>
        <w:t xml:space="preserve">The combined resources within N&amp;H help manufacturers create products with a healthier profile that actively promote good health to address consumer needs and emerging health trends. Capabilities are applied with a focus on the specific needs of key industry segments, including bakery, beverages, bars, dairy and dietary supplements.  Among the key products areas are probiotics, soy protein and cultures, as well as specialty ingredients that help customers reduce the amount of fat, salt and sugar in their foods. </w:t>
      </w:r>
    </w:p>
    <w:p w:rsidR="00943E2C" w:rsidRPr="00E25B18" w:rsidRDefault="00943E2C" w:rsidP="00943E2C">
      <w:pPr>
        <w:shd w:val="clear" w:color="auto" w:fill="FFFFFF"/>
        <w:tabs>
          <w:tab w:val="num" w:pos="720"/>
        </w:tabs>
        <w:jc w:val="both"/>
        <w:rPr>
          <w:lang w:val="en-US"/>
        </w:rPr>
      </w:pPr>
      <w:r w:rsidRPr="00E25B18">
        <w:rPr>
          <w:lang w:val="en-US"/>
        </w:rPr>
        <w:t>A key market focus is the Health &amp; Wellness segment which is growing at +7.4% annual growth in emerging markets and +1.5% annual growth in developed markets. We have increased technical, sales and marketing resources in this area focusing on Cultures and Probiotics as key product portfolios addressing the needs of these markets. We have just recently announcement a probiotics expansion planned for 2017 at our Rochester Plant in the US, the expansion will span two-years with total investment of $100 million, increasing production capacity by 70 %.</w:t>
      </w:r>
    </w:p>
    <w:p w:rsidR="00943E2C" w:rsidRPr="00E25B18" w:rsidRDefault="00943E2C" w:rsidP="00943E2C">
      <w:pPr>
        <w:shd w:val="clear" w:color="auto" w:fill="FFFFFF"/>
        <w:tabs>
          <w:tab w:val="num" w:pos="720"/>
        </w:tabs>
        <w:jc w:val="both"/>
        <w:rPr>
          <w:lang w:val="en-US"/>
        </w:rPr>
      </w:pPr>
      <w:r w:rsidRPr="00E25B18">
        <w:rPr>
          <w:lang w:val="en-US"/>
        </w:rPr>
        <w:t xml:space="preserve">Emerging markets is a key focus for N&amp;H – where China and India has been a priority in recent years, we are now also increasing resourcing (headcount and also new innovation centres) to support business growth in countries such as Indonesia, Philippines and Vietnam and also in ECE/TMEA (e.g. new innovation centre in UAE).  </w:t>
      </w:r>
    </w:p>
    <w:p w:rsidR="00943E2C" w:rsidRPr="00E25B18" w:rsidRDefault="00943E2C" w:rsidP="00943E2C">
      <w:pPr>
        <w:pStyle w:val="GSPNormal"/>
        <w:rPr>
          <w:rFonts w:asciiTheme="minorHAnsi" w:hAnsiTheme="minorHAnsi"/>
          <w:sz w:val="22"/>
          <w:szCs w:val="22"/>
        </w:rPr>
      </w:pPr>
      <w:bookmarkStart w:id="0" w:name="_Toc1184499492"/>
      <w:r w:rsidRPr="00E25B18">
        <w:rPr>
          <w:rFonts w:asciiTheme="minorHAnsi" w:hAnsiTheme="minorHAnsi"/>
          <w:sz w:val="22"/>
          <w:szCs w:val="22"/>
          <w:lang w:val="en"/>
        </w:rPr>
        <w:t>In 2015, DuPont and Dow Chemicals announced a global merger between the two companies. The merger is expected to be effective in Q1 2017, and following the merger the plan is to divide the company into</w:t>
      </w:r>
      <w:r w:rsidRPr="00E25B18">
        <w:rPr>
          <w:rFonts w:asciiTheme="minorHAnsi" w:hAnsiTheme="minorHAnsi"/>
          <w:sz w:val="22"/>
          <w:szCs w:val="22"/>
        </w:rPr>
        <w:t xml:space="preserve"> three public companies; 1) an agriculture company 2) a material science company and 3) a specialty products company. The new Specialty Company will have a strong financial profile with leading positions in attractive markets, trusted brands, differentiated products, strong margins, high return on invested capital, steady growth potential and a strong global presence. As N&amp;H has no product overlap with Dow Chemical, the merger and subsequent split is not expected to impact the business.</w:t>
      </w:r>
    </w:p>
    <w:p w:rsidR="00943E2C" w:rsidRPr="00E25B18" w:rsidRDefault="00943E2C" w:rsidP="00943E2C">
      <w:pPr>
        <w:pStyle w:val="GSPNormal"/>
        <w:rPr>
          <w:rFonts w:asciiTheme="minorHAnsi" w:hAnsiTheme="minorHAnsi"/>
          <w:sz w:val="22"/>
          <w:szCs w:val="22"/>
        </w:rPr>
      </w:pPr>
    </w:p>
    <w:p w:rsidR="00943E2C" w:rsidRPr="00E25B18" w:rsidRDefault="00943E2C" w:rsidP="00943E2C">
      <w:pPr>
        <w:jc w:val="both"/>
        <w:rPr>
          <w:color w:val="005860"/>
          <w:lang w:val="en-US"/>
        </w:rPr>
      </w:pPr>
      <w:bookmarkStart w:id="1" w:name="_Toc466475763"/>
      <w:bookmarkEnd w:id="0"/>
      <w:bookmarkEnd w:id="1"/>
    </w:p>
    <w:sectPr w:rsidR="00943E2C" w:rsidRPr="00E25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503EE"/>
    <w:multiLevelType w:val="hybridMultilevel"/>
    <w:tmpl w:val="C460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2C"/>
    <w:rsid w:val="000E0EF4"/>
    <w:rsid w:val="004715EA"/>
    <w:rsid w:val="006F4496"/>
    <w:rsid w:val="00884774"/>
    <w:rsid w:val="00943E2C"/>
    <w:rsid w:val="00E25B18"/>
    <w:rsid w:val="00EC4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43E2C"/>
    <w:pPr>
      <w:pBdr>
        <w:bottom w:val="single" w:sz="8" w:space="8" w:color="000000"/>
      </w:pBdr>
      <w:autoSpaceDE w:val="0"/>
      <w:autoSpaceDN w:val="0"/>
      <w:adjustRightInd w:val="0"/>
      <w:spacing w:line="240" w:lineRule="auto"/>
      <w:outlineLvl w:val="0"/>
    </w:pPr>
    <w:rPr>
      <w:rFonts w:ascii="Georgia" w:eastAsiaTheme="minorEastAsia" w:hAnsi="Georgia" w:cs="Georgia"/>
      <w:color w:val="00586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3E2C"/>
    <w:rPr>
      <w:rFonts w:ascii="Georgia" w:eastAsiaTheme="minorEastAsia" w:hAnsi="Georgia" w:cs="Georgia"/>
      <w:color w:val="005860"/>
      <w:sz w:val="28"/>
      <w:szCs w:val="28"/>
      <w:lang w:val="en-GB"/>
    </w:rPr>
  </w:style>
  <w:style w:type="character" w:styleId="Hyperlink">
    <w:name w:val="Hyperlink"/>
    <w:basedOn w:val="DefaultParagraphFont"/>
    <w:uiPriority w:val="99"/>
    <w:rsid w:val="00943E2C"/>
    <w:rPr>
      <w:rFonts w:cs="Georgia"/>
      <w:sz w:val="20"/>
      <w:szCs w:val="20"/>
      <w:u w:val="single"/>
    </w:rPr>
  </w:style>
  <w:style w:type="paragraph" w:customStyle="1" w:styleId="GSPNormal">
    <w:name w:val="GSP Normal"/>
    <w:link w:val="GSPNormalCharChar"/>
    <w:uiPriority w:val="99"/>
    <w:rsid w:val="00943E2C"/>
    <w:pPr>
      <w:widowControl w:val="0"/>
      <w:autoSpaceDE w:val="0"/>
      <w:autoSpaceDN w:val="0"/>
      <w:adjustRightInd w:val="0"/>
      <w:spacing w:after="0" w:line="260" w:lineRule="atLeast"/>
      <w:jc w:val="both"/>
    </w:pPr>
    <w:rPr>
      <w:rFonts w:ascii="Georgia" w:eastAsiaTheme="minorEastAsia" w:hAnsi="Georgia" w:cs="Georgia"/>
      <w:sz w:val="20"/>
      <w:szCs w:val="20"/>
      <w:lang w:val="en-GB"/>
    </w:rPr>
  </w:style>
  <w:style w:type="character" w:customStyle="1" w:styleId="GSPNormalCharChar">
    <w:name w:val="GSP Normal Char Char"/>
    <w:link w:val="GSPNormal"/>
    <w:uiPriority w:val="99"/>
    <w:locked/>
    <w:rsid w:val="00943E2C"/>
    <w:rPr>
      <w:rFonts w:ascii="Georgia" w:eastAsiaTheme="minorEastAsia" w:hAnsi="Georgia" w:cs="Georgi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43E2C"/>
    <w:pPr>
      <w:pBdr>
        <w:bottom w:val="single" w:sz="8" w:space="8" w:color="000000"/>
      </w:pBdr>
      <w:autoSpaceDE w:val="0"/>
      <w:autoSpaceDN w:val="0"/>
      <w:adjustRightInd w:val="0"/>
      <w:spacing w:line="240" w:lineRule="auto"/>
      <w:outlineLvl w:val="0"/>
    </w:pPr>
    <w:rPr>
      <w:rFonts w:ascii="Georgia" w:eastAsiaTheme="minorEastAsia" w:hAnsi="Georgia" w:cs="Georgia"/>
      <w:color w:val="00586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3E2C"/>
    <w:rPr>
      <w:rFonts w:ascii="Georgia" w:eastAsiaTheme="minorEastAsia" w:hAnsi="Georgia" w:cs="Georgia"/>
      <w:color w:val="005860"/>
      <w:sz w:val="28"/>
      <w:szCs w:val="28"/>
      <w:lang w:val="en-GB"/>
    </w:rPr>
  </w:style>
  <w:style w:type="character" w:styleId="Hyperlink">
    <w:name w:val="Hyperlink"/>
    <w:basedOn w:val="DefaultParagraphFont"/>
    <w:uiPriority w:val="99"/>
    <w:rsid w:val="00943E2C"/>
    <w:rPr>
      <w:rFonts w:cs="Georgia"/>
      <w:sz w:val="20"/>
      <w:szCs w:val="20"/>
      <w:u w:val="single"/>
    </w:rPr>
  </w:style>
  <w:style w:type="paragraph" w:customStyle="1" w:styleId="GSPNormal">
    <w:name w:val="GSP Normal"/>
    <w:link w:val="GSPNormalCharChar"/>
    <w:uiPriority w:val="99"/>
    <w:rsid w:val="00943E2C"/>
    <w:pPr>
      <w:widowControl w:val="0"/>
      <w:autoSpaceDE w:val="0"/>
      <w:autoSpaceDN w:val="0"/>
      <w:adjustRightInd w:val="0"/>
      <w:spacing w:after="0" w:line="260" w:lineRule="atLeast"/>
      <w:jc w:val="both"/>
    </w:pPr>
    <w:rPr>
      <w:rFonts w:ascii="Georgia" w:eastAsiaTheme="minorEastAsia" w:hAnsi="Georgia" w:cs="Georgia"/>
      <w:sz w:val="20"/>
      <w:szCs w:val="20"/>
      <w:lang w:val="en-GB"/>
    </w:rPr>
  </w:style>
  <w:style w:type="character" w:customStyle="1" w:styleId="GSPNormalCharChar">
    <w:name w:val="GSP Normal Char Char"/>
    <w:link w:val="GSPNormal"/>
    <w:uiPriority w:val="99"/>
    <w:locked/>
    <w:rsid w:val="00943E2C"/>
    <w:rPr>
      <w:rFonts w:ascii="Georgia" w:eastAsiaTheme="minorEastAsia" w:hAnsi="Georgia" w:cs="Georg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EAB1A312.dotm</Template>
  <TotalTime>0</TotalTime>
  <Pages>1</Pages>
  <Words>568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Liakhovych, Dmytro</dc:creator>
  <cp:lastModifiedBy>Hemmen, Nine</cp:lastModifiedBy>
  <cp:revision>1</cp:revision>
  <dcterms:created xsi:type="dcterms:W3CDTF">2017-06-07T06:50:00Z</dcterms:created>
  <dcterms:modified xsi:type="dcterms:W3CDTF">2017-06-07T06:50:00Z</dcterms:modified>
</cp:coreProperties>
</file>