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90A2" w14:textId="3FD21028" w:rsidR="00693A8A" w:rsidRDefault="00693A8A" w:rsidP="00693A8A">
      <w:pPr>
        <w:pStyle w:val="Heading2"/>
      </w:pPr>
      <w:bookmarkStart w:id="0" w:name="_GoBack"/>
      <w:bookmarkEnd w:id="0"/>
      <w:r>
        <w:t xml:space="preserve">Individuele </w:t>
      </w:r>
      <w:r w:rsidR="00DD50D1">
        <w:t>Masterthesis</w:t>
      </w:r>
    </w:p>
    <w:p w14:paraId="23406F60" w14:textId="79FD7C01" w:rsidR="00DD50D1" w:rsidRDefault="00DD50D1" w:rsidP="00DD50D1"/>
    <w:p w14:paraId="21F2405D" w14:textId="56200654" w:rsidR="00693A8A" w:rsidRDefault="00DD50D1" w:rsidP="00693A8A">
      <w:r>
        <w:t xml:space="preserve">Heb je sterke interesse gekregen voor het (hoger) onderwijs? Ben je geïnteresseerd in formatief toetsen (ofwel: Toetsen om van te leren) en wil je wel eens weten hoe verschillende hoger onderwijsinstellingen hiermee aan de slag gaan? Lees dan verder voor dit leuke thesisproject! </w:t>
      </w:r>
      <w:r>
        <w:br/>
      </w:r>
    </w:p>
    <w:p w14:paraId="659BFB63" w14:textId="77777777" w:rsidR="00693A8A" w:rsidRDefault="00693A8A" w:rsidP="00693A8A">
      <w:pPr>
        <w:pStyle w:val="Heading3"/>
      </w:pPr>
      <w:r>
        <w:t>Inleiding</w:t>
      </w:r>
    </w:p>
    <w:p w14:paraId="2C07E95F" w14:textId="31444D0F" w:rsidR="00693A8A" w:rsidRDefault="00494DE8" w:rsidP="00693A8A">
      <w:r>
        <w:t>Er is veel onderzoek gedaan naar formatief toetsen (“</w:t>
      </w:r>
      <w:proofErr w:type="spellStart"/>
      <w:r>
        <w:t>formative</w:t>
      </w:r>
      <w:proofErr w:type="spellEnd"/>
      <w:r>
        <w:t xml:space="preserve"> assessment”) en het belang van formatief toetsen voor het leerproces van de student (b.v. Black &amp; </w:t>
      </w:r>
      <w:proofErr w:type="spellStart"/>
      <w:r>
        <w:t>Wiliam</w:t>
      </w:r>
      <w:proofErr w:type="spellEnd"/>
      <w:r>
        <w:t xml:space="preserve">, 2009). Echter, </w:t>
      </w:r>
      <w:r w:rsidR="00A7093E">
        <w:t>het implementeren van formatief toetsen in het (hoger) onderwijs is niet makkelijker (</w:t>
      </w:r>
      <w:proofErr w:type="spellStart"/>
      <w:r w:rsidR="00A7093E">
        <w:t>Heitink</w:t>
      </w:r>
      <w:proofErr w:type="spellEnd"/>
      <w:r w:rsidR="00A7093E">
        <w:t xml:space="preserve"> et al., 2016; Gulikers &amp; Baartman, 2017)</w:t>
      </w:r>
      <w:r>
        <w:t>. Voorbeelden van problemen die de implementatie van formatief toetsen verhinderen zijn verwarringen of misconcepties over het begrip “</w:t>
      </w:r>
      <w:proofErr w:type="spellStart"/>
      <w:r>
        <w:t>formative</w:t>
      </w:r>
      <w:proofErr w:type="spellEnd"/>
      <w:r>
        <w:t xml:space="preserve"> assessment”, een cultuur gericht op </w:t>
      </w:r>
      <w:proofErr w:type="spellStart"/>
      <w:r>
        <w:t>summatief</w:t>
      </w:r>
      <w:proofErr w:type="spellEnd"/>
      <w:r>
        <w:t xml:space="preserve"> toetsen en het gevoel dat </w:t>
      </w:r>
      <w:proofErr w:type="spellStart"/>
      <w:r>
        <w:t>formative</w:t>
      </w:r>
      <w:proofErr w:type="spellEnd"/>
      <w:r>
        <w:t xml:space="preserve"> assessment veel (extra) administratie met zich meebrengt (</w:t>
      </w:r>
      <w:proofErr w:type="spellStart"/>
      <w:r>
        <w:t>Klenowski</w:t>
      </w:r>
      <w:proofErr w:type="spellEnd"/>
      <w:r>
        <w:t xml:space="preserve">, 2009; Brookhart et al., 2010). </w:t>
      </w:r>
    </w:p>
    <w:p w14:paraId="4690A446" w14:textId="736F22A9" w:rsidR="00494DE8" w:rsidRDefault="00494DE8" w:rsidP="00693A8A">
      <w:r>
        <w:t>In Australië is om deze reden een paar jaar geleden een groot onderzoeksproject gestart gericht op het verbeteren van studentervaringen met feedback</w:t>
      </w:r>
      <w:r w:rsidR="00420333">
        <w:t xml:space="preserve"> en het identificeren van goede feedback </w:t>
      </w:r>
      <w:proofErr w:type="spellStart"/>
      <w:r w:rsidR="00420333">
        <w:t>practices</w:t>
      </w:r>
      <w:proofErr w:type="spellEnd"/>
      <w:r w:rsidR="00420333">
        <w:t xml:space="preserve"> (zie: </w:t>
      </w:r>
      <w:r w:rsidR="00420333" w:rsidRPr="00420333">
        <w:t xml:space="preserve"> </w:t>
      </w:r>
      <w:hyperlink r:id="rId5" w:history="1">
        <w:r w:rsidR="00420333" w:rsidRPr="00CC7042">
          <w:rPr>
            <w:rStyle w:val="Hyperlink"/>
          </w:rPr>
          <w:t>http://newmediaresearch.educ.monash.edu.au/feedback/</w:t>
        </w:r>
      </w:hyperlink>
      <w:r w:rsidR="00420333">
        <w:rPr>
          <w:rStyle w:val="Hyperlink"/>
        </w:rPr>
        <w:t xml:space="preserve">). </w:t>
      </w:r>
      <w:r>
        <w:t xml:space="preserve">Deze thesispositie is gericht op de eerste stappen van een dergelijk project in Nederland. Vergelijkbaar met de studie in </w:t>
      </w:r>
      <w:r w:rsidR="00BB2B04">
        <w:t>Australië</w:t>
      </w:r>
      <w:r>
        <w:t xml:space="preserve"> stellen we onszelf de vragen:</w:t>
      </w:r>
    </w:p>
    <w:p w14:paraId="35FAE533" w14:textId="77777777" w:rsidR="00494DE8" w:rsidRDefault="00494DE8" w:rsidP="00494DE8">
      <w:pPr>
        <w:pStyle w:val="ListParagraph"/>
        <w:numPr>
          <w:ilvl w:val="0"/>
          <w:numId w:val="2"/>
        </w:numPr>
      </w:pPr>
      <w:r>
        <w:t xml:space="preserve">Hoe kunnen we de huidige praktijk van </w:t>
      </w:r>
      <w:proofErr w:type="spellStart"/>
      <w:r>
        <w:t>formative</w:t>
      </w:r>
      <w:proofErr w:type="spellEnd"/>
      <w:r>
        <w:t xml:space="preserve"> assessment in het hoger onderwijs karakteriseren? Hoe ervaren studenten dit? </w:t>
      </w:r>
    </w:p>
    <w:p w14:paraId="13D89840" w14:textId="77777777" w:rsidR="00420333" w:rsidRDefault="00494DE8" w:rsidP="004E6FB8">
      <w:pPr>
        <w:pStyle w:val="ListParagraph"/>
        <w:numPr>
          <w:ilvl w:val="0"/>
          <w:numId w:val="2"/>
        </w:numPr>
      </w:pPr>
      <w:r>
        <w:t xml:space="preserve">Welke kenmerken van </w:t>
      </w:r>
      <w:r w:rsidR="00420333">
        <w:t xml:space="preserve">goede </w:t>
      </w:r>
      <w:proofErr w:type="spellStart"/>
      <w:r w:rsidR="00420333">
        <w:t>formative</w:t>
      </w:r>
      <w:proofErr w:type="spellEnd"/>
      <w:r w:rsidR="00420333">
        <w:t xml:space="preserve"> assessment </w:t>
      </w:r>
      <w:proofErr w:type="spellStart"/>
      <w:r w:rsidR="00420333">
        <w:t>practices</w:t>
      </w:r>
      <w:proofErr w:type="spellEnd"/>
      <w:r w:rsidR="00420333">
        <w:t xml:space="preserve"> volgens studenten?</w:t>
      </w:r>
    </w:p>
    <w:p w14:paraId="74BCB5E7" w14:textId="0F964B6F" w:rsidR="00693A8A" w:rsidRDefault="00494DE8" w:rsidP="00420333">
      <w:pPr>
        <w:pStyle w:val="Heading3"/>
      </w:pPr>
      <w:r>
        <w:t>Opzet van het onderzoek</w:t>
      </w:r>
    </w:p>
    <w:p w14:paraId="069B5B87" w14:textId="77777777" w:rsidR="00494DE8" w:rsidRDefault="00494DE8" w:rsidP="00693A8A">
      <w:r>
        <w:t>In de eerste fase van dit onderzoek onderscheiden we twee stappen, waarbij deze thesispositie aansluit. Hier zijn dus ook keuzemogelijkheden voor de focus van de thesis.</w:t>
      </w:r>
    </w:p>
    <w:p w14:paraId="11130038" w14:textId="77777777" w:rsidR="00494DE8" w:rsidRDefault="00494DE8" w:rsidP="00494DE8">
      <w:pPr>
        <w:pStyle w:val="ListParagraph"/>
        <w:numPr>
          <w:ilvl w:val="0"/>
          <w:numId w:val="3"/>
        </w:numPr>
      </w:pPr>
      <w:r>
        <w:t xml:space="preserve">Grootschalig kwantitatief onderzoek: vragenlijststudie naar de percepties van studenten over hun </w:t>
      </w:r>
      <w:proofErr w:type="spellStart"/>
      <w:r>
        <w:t>formative</w:t>
      </w:r>
      <w:proofErr w:type="spellEnd"/>
      <w:r>
        <w:t xml:space="preserve"> assessment praktijk in het hoger onderwijs.</w:t>
      </w:r>
    </w:p>
    <w:p w14:paraId="20FC2456" w14:textId="5079E011" w:rsidR="00494DE8" w:rsidRDefault="00494DE8" w:rsidP="00494DE8">
      <w:pPr>
        <w:pStyle w:val="ListParagraph"/>
        <w:numPr>
          <w:ilvl w:val="0"/>
          <w:numId w:val="3"/>
        </w:numPr>
      </w:pPr>
      <w:r>
        <w:t xml:space="preserve">Diepgaand kwalitatief onderzoek: focusgroep interviews met studenten over hun ervaringen met </w:t>
      </w:r>
      <w:proofErr w:type="spellStart"/>
      <w:r>
        <w:t>formative</w:t>
      </w:r>
      <w:proofErr w:type="spellEnd"/>
      <w:r>
        <w:t xml:space="preserve"> assessment, gericht op de vraag wat sommige praktijken succesvoller maakt dan andere</w:t>
      </w:r>
      <w:r w:rsidR="00420333">
        <w:t xml:space="preserve"> in de ogen van studenten</w:t>
      </w:r>
      <w:r>
        <w:t>.</w:t>
      </w:r>
    </w:p>
    <w:p w14:paraId="6E95C6E9" w14:textId="2AA649C6" w:rsidR="00420333" w:rsidRDefault="00420333" w:rsidP="00494DE8">
      <w:pPr>
        <w:pStyle w:val="ListParagraph"/>
        <w:numPr>
          <w:ilvl w:val="0"/>
          <w:numId w:val="3"/>
        </w:numPr>
      </w:pPr>
      <w:r>
        <w:t xml:space="preserve">Multiple case onderzoek: het opzoeken van verschillende casussen in het hoger onderwijs waarin </w:t>
      </w:r>
      <w:proofErr w:type="spellStart"/>
      <w:r>
        <w:t>formative</w:t>
      </w:r>
      <w:proofErr w:type="spellEnd"/>
      <w:r>
        <w:t xml:space="preserve"> assessment is geïmplementeerd. Het beschrijven van deze casussen en interviewen van betrokkenen (studenten/docenten) om zicht te krijgen op de vraag wat </w:t>
      </w:r>
      <w:proofErr w:type="spellStart"/>
      <w:r>
        <w:t>formative</w:t>
      </w:r>
      <w:proofErr w:type="spellEnd"/>
      <w:r>
        <w:t xml:space="preserve"> assessment </w:t>
      </w:r>
      <w:proofErr w:type="spellStart"/>
      <w:r>
        <w:t>practices</w:t>
      </w:r>
      <w:proofErr w:type="spellEnd"/>
      <w:r>
        <w:t xml:space="preserve"> meer of minder succesvol maken. </w:t>
      </w:r>
    </w:p>
    <w:p w14:paraId="040AAF5E" w14:textId="251E9C1A" w:rsidR="00494DE8" w:rsidRDefault="00A7093E" w:rsidP="00494DE8">
      <w:r>
        <w:t>Het is mogelijk om voor dit onderzoek aan te sluiten bij het SURF versnellingsplan onderwijsinnovatie met ICT, waarbij er met formatief toetsen geëxperimenteerd wordt</w:t>
      </w:r>
      <w:r w:rsidR="00420333">
        <w:t xml:space="preserve"> (zie: </w:t>
      </w:r>
      <w:hyperlink r:id="rId6" w:history="1">
        <w:r w:rsidR="00420333" w:rsidRPr="009B30CB">
          <w:rPr>
            <w:rStyle w:val="Hyperlink"/>
          </w:rPr>
          <w:t>https://versnellingsplan.nl/zones/docentprofessionalisering/</w:t>
        </w:r>
      </w:hyperlink>
      <w:r w:rsidR="00420333">
        <w:t>)</w:t>
      </w:r>
      <w:r>
        <w:t xml:space="preserve">. </w:t>
      </w:r>
      <w:r w:rsidR="00DF5A01">
        <w:t xml:space="preserve">Voor de student kan ook de eigen (hoger onderwijs) instelling participeren. </w:t>
      </w:r>
    </w:p>
    <w:p w14:paraId="0ED3CDBF" w14:textId="77777777" w:rsidR="00693A8A" w:rsidRDefault="00693A8A" w:rsidP="00693A8A">
      <w:pPr>
        <w:pStyle w:val="Heading3"/>
      </w:pPr>
      <w:r>
        <w:t>Meer weten?</w:t>
      </w:r>
    </w:p>
    <w:p w14:paraId="6E88CF4F" w14:textId="46F7A376" w:rsidR="00693A8A" w:rsidRPr="00DD50D1" w:rsidRDefault="00693A8A" w:rsidP="00693A8A">
      <w:pPr>
        <w:rPr>
          <w:rStyle w:val="Hyperlink"/>
        </w:rPr>
      </w:pPr>
      <w:r w:rsidRPr="00DD50D1">
        <w:t xml:space="preserve">Neem contact op met </w:t>
      </w:r>
      <w:r w:rsidR="00DD50D1" w:rsidRPr="00DD50D1">
        <w:t>Judith Gulikers</w:t>
      </w:r>
      <w:r w:rsidRPr="00DD50D1">
        <w:t xml:space="preserve">: </w:t>
      </w:r>
      <w:hyperlink r:id="rId7" w:history="1">
        <w:r w:rsidR="00DD50D1" w:rsidRPr="00DD50D1">
          <w:rPr>
            <w:rStyle w:val="Hyperlink"/>
          </w:rPr>
          <w:t>judith.gulikers@wur.nl</w:t>
        </w:r>
      </w:hyperlink>
      <w:r w:rsidR="00DD50D1" w:rsidRPr="00DD50D1">
        <w:t xml:space="preserve"> (thesis/</w:t>
      </w:r>
      <w:proofErr w:type="spellStart"/>
      <w:r w:rsidR="00DD50D1" w:rsidRPr="00DD50D1">
        <w:t>internship</w:t>
      </w:r>
      <w:proofErr w:type="spellEnd"/>
      <w:r w:rsidR="00DD50D1" w:rsidRPr="00DD50D1">
        <w:t xml:space="preserve"> </w:t>
      </w:r>
      <w:proofErr w:type="spellStart"/>
      <w:r w:rsidR="00DD50D1" w:rsidRPr="00DD50D1">
        <w:t>coordinator</w:t>
      </w:r>
      <w:proofErr w:type="spellEnd"/>
      <w:r w:rsidR="00DD50D1" w:rsidRPr="00DD50D1">
        <w:t xml:space="preserve"> ELS; en inhoudelij</w:t>
      </w:r>
      <w:r w:rsidR="00DD50D1">
        <w:t>ke expert)</w:t>
      </w:r>
    </w:p>
    <w:p w14:paraId="1185E903" w14:textId="77777777" w:rsidR="00693A8A" w:rsidRPr="00DD50D1" w:rsidRDefault="00693A8A" w:rsidP="00693A8A">
      <w:pPr>
        <w:pStyle w:val="Heading3"/>
      </w:pPr>
      <w:r w:rsidRPr="00DD50D1">
        <w:lastRenderedPageBreak/>
        <w:t>Referenties</w:t>
      </w:r>
    </w:p>
    <w:p w14:paraId="5948CD5D" w14:textId="77777777" w:rsidR="00693A8A" w:rsidRDefault="00693A8A" w:rsidP="00693A8A">
      <w:pPr>
        <w:rPr>
          <w:lang w:val="en-US"/>
        </w:rPr>
      </w:pPr>
      <w:r w:rsidRPr="006F7673">
        <w:rPr>
          <w:lang w:val="en-US"/>
        </w:rPr>
        <w:t xml:space="preserve">Black, P. &amp; </w:t>
      </w:r>
      <w:proofErr w:type="spellStart"/>
      <w:r w:rsidRPr="006F7673">
        <w:rPr>
          <w:lang w:val="en-US"/>
        </w:rPr>
        <w:t>Wiliam</w:t>
      </w:r>
      <w:proofErr w:type="spellEnd"/>
      <w:r w:rsidRPr="006F7673">
        <w:rPr>
          <w:lang w:val="en-US"/>
        </w:rPr>
        <w:t xml:space="preserve">, D. (2009). </w:t>
      </w:r>
      <w:r>
        <w:rPr>
          <w:lang w:val="en-US"/>
        </w:rPr>
        <w:t xml:space="preserve">Developing the theory of formative assessment. </w:t>
      </w:r>
      <w:r>
        <w:rPr>
          <w:i/>
          <w:lang w:val="en-US"/>
        </w:rPr>
        <w:t>Educational Assessment, Evaluation and Accountability, 21</w:t>
      </w:r>
      <w:r>
        <w:rPr>
          <w:lang w:val="en-US"/>
        </w:rPr>
        <w:t>, 5-31.</w:t>
      </w:r>
    </w:p>
    <w:p w14:paraId="3A44826E" w14:textId="55D55483" w:rsidR="00BB2B04" w:rsidRDefault="00BB2B04" w:rsidP="00BB2B04">
      <w:pPr>
        <w:ind w:left="357" w:hanging="357"/>
        <w:rPr>
          <w:lang w:val="en-US"/>
        </w:rPr>
      </w:pPr>
      <w:r w:rsidRPr="00911E4E">
        <w:rPr>
          <w:lang w:val="en-US"/>
        </w:rPr>
        <w:t xml:space="preserve">Brookhart, S. M., Moss, C. M., &amp; Long, B. A. (2010). Teacher inquiry into formative assessment practices in remedial reading classrooms. </w:t>
      </w:r>
      <w:r w:rsidRPr="00911E4E">
        <w:rPr>
          <w:i/>
          <w:lang w:val="en-US"/>
        </w:rPr>
        <w:t>Assessment in Education: Principles, Policy &amp; Practice, 17</w:t>
      </w:r>
      <w:r w:rsidRPr="00911E4E">
        <w:rPr>
          <w:lang w:val="en-US"/>
        </w:rPr>
        <w:t xml:space="preserve">(1), 41-58. </w:t>
      </w:r>
    </w:p>
    <w:p w14:paraId="7418148E" w14:textId="7A6E4960" w:rsidR="00A7093E" w:rsidRPr="00420333" w:rsidRDefault="00A7093E" w:rsidP="00BB2B04">
      <w:pPr>
        <w:ind w:left="357" w:hanging="357"/>
      </w:pPr>
      <w:r w:rsidRPr="00420333">
        <w:rPr>
          <w:lang w:val="en-US"/>
        </w:rPr>
        <w:t xml:space="preserve">Gulikers, J. T. M., &amp; Baartman, L. (2017). </w:t>
      </w:r>
      <w:r w:rsidRPr="00A7093E">
        <w:rPr>
          <w:i/>
          <w:iCs/>
        </w:rPr>
        <w:t>Doelgericht professionaliseren. Formatief toetsen met effect! Wat DOET de docent in de klas?</w:t>
      </w:r>
      <w:r w:rsidRPr="00A7093E">
        <w:t xml:space="preserve">: Eindrapport NRO-PPO overzichtsstudie dossiernummer 405-15-722. </w:t>
      </w:r>
      <w:r w:rsidRPr="00420333">
        <w:t>NRO.</w:t>
      </w:r>
    </w:p>
    <w:p w14:paraId="07A43F6E" w14:textId="77777777" w:rsidR="00A7093E" w:rsidRDefault="00A7093E" w:rsidP="00A7093E">
      <w:pPr>
        <w:pStyle w:val="BodyText2"/>
        <w:widowControl/>
        <w:ind w:left="360" w:hanging="360"/>
        <w:rPr>
          <w:rFonts w:ascii="Calibri" w:hAnsi="Calibri" w:cs="Calibri"/>
          <w:i w:val="0"/>
          <w:sz w:val="22"/>
          <w:szCs w:val="22"/>
          <w:lang w:val="en-US"/>
        </w:rPr>
      </w:pPr>
      <w:proofErr w:type="spellStart"/>
      <w:r w:rsidRPr="006273F1">
        <w:rPr>
          <w:rFonts w:ascii="Calibri" w:hAnsi="Calibri" w:cs="Calibri"/>
          <w:i w:val="0"/>
          <w:sz w:val="22"/>
          <w:szCs w:val="22"/>
        </w:rPr>
        <w:t>Heitink</w:t>
      </w:r>
      <w:proofErr w:type="spellEnd"/>
      <w:r w:rsidRPr="006273F1">
        <w:rPr>
          <w:rFonts w:ascii="Calibri" w:hAnsi="Calibri" w:cs="Calibri"/>
          <w:i w:val="0"/>
          <w:sz w:val="22"/>
          <w:szCs w:val="22"/>
        </w:rPr>
        <w:t xml:space="preserve">, M. C., Van der Kleij, F. M., Veldkamp, B. P., Schildkamp, K., &amp; Kippers, W. B. (2016). </w:t>
      </w:r>
      <w:r w:rsidRPr="006273F1">
        <w:rPr>
          <w:rFonts w:ascii="Calibri" w:hAnsi="Calibri" w:cs="Calibri"/>
          <w:i w:val="0"/>
          <w:sz w:val="22"/>
          <w:szCs w:val="22"/>
          <w:lang w:val="en-US"/>
        </w:rPr>
        <w:t xml:space="preserve">A systematic review of prerequisites for implementing assessment for learning in classroom practice. </w:t>
      </w:r>
      <w:r w:rsidRPr="006273F1">
        <w:rPr>
          <w:rFonts w:ascii="Calibri" w:hAnsi="Calibri" w:cs="Calibri"/>
          <w:sz w:val="22"/>
          <w:szCs w:val="22"/>
          <w:lang w:val="en-US"/>
        </w:rPr>
        <w:t>Educational Research Review</w:t>
      </w:r>
      <w:r w:rsidRPr="006273F1">
        <w:rPr>
          <w:rFonts w:ascii="Calibri" w:hAnsi="Calibri" w:cs="Calibri"/>
          <w:i w:val="0"/>
          <w:sz w:val="22"/>
          <w:szCs w:val="22"/>
          <w:lang w:val="en-US"/>
        </w:rPr>
        <w:t xml:space="preserve">, </w:t>
      </w:r>
      <w:r w:rsidRPr="006273F1">
        <w:rPr>
          <w:rFonts w:ascii="Calibri" w:hAnsi="Calibri" w:cs="Calibri"/>
          <w:sz w:val="22"/>
          <w:szCs w:val="22"/>
          <w:lang w:val="en-US"/>
        </w:rPr>
        <w:t>17</w:t>
      </w:r>
      <w:r w:rsidRPr="006273F1">
        <w:rPr>
          <w:rFonts w:ascii="Calibri" w:hAnsi="Calibri" w:cs="Calibri"/>
          <w:i w:val="0"/>
          <w:sz w:val="22"/>
          <w:szCs w:val="22"/>
          <w:lang w:val="en-US"/>
        </w:rPr>
        <w:t xml:space="preserve">, 50-62. </w:t>
      </w:r>
    </w:p>
    <w:p w14:paraId="7401E467" w14:textId="77777777" w:rsidR="00A7093E" w:rsidRPr="00911E4E" w:rsidRDefault="00A7093E" w:rsidP="00BB2B04">
      <w:pPr>
        <w:ind w:left="357" w:hanging="357"/>
        <w:rPr>
          <w:lang w:val="en-US"/>
        </w:rPr>
      </w:pPr>
    </w:p>
    <w:p w14:paraId="714C8468" w14:textId="77777777" w:rsidR="00BB2B04" w:rsidRPr="00911E4E" w:rsidRDefault="00BB2B04" w:rsidP="00BB2B04">
      <w:pPr>
        <w:ind w:left="357" w:hanging="357"/>
        <w:rPr>
          <w:rFonts w:cs="ArnoPro"/>
          <w:szCs w:val="17"/>
          <w:lang w:val="en-US"/>
        </w:rPr>
      </w:pPr>
      <w:proofErr w:type="spellStart"/>
      <w:r>
        <w:rPr>
          <w:rFonts w:cs="ArnoPro"/>
          <w:szCs w:val="17"/>
          <w:lang w:val="en-US"/>
        </w:rPr>
        <w:t>Klenowski</w:t>
      </w:r>
      <w:proofErr w:type="spellEnd"/>
      <w:r>
        <w:rPr>
          <w:rFonts w:cs="ArnoPro"/>
          <w:szCs w:val="17"/>
          <w:lang w:val="en-US"/>
        </w:rPr>
        <w:t xml:space="preserve">, V. (2009). Assessment for learning revisited: an Asia-Pacific perspective. </w:t>
      </w:r>
      <w:r>
        <w:rPr>
          <w:rFonts w:cs="ArnoPro"/>
          <w:i/>
          <w:szCs w:val="17"/>
          <w:lang w:val="en-US"/>
        </w:rPr>
        <w:t>Assessment in Education: Principles, Policy and Practice, 16</w:t>
      </w:r>
      <w:r>
        <w:rPr>
          <w:rFonts w:cs="ArnoPro"/>
          <w:szCs w:val="17"/>
          <w:lang w:val="en-US"/>
        </w:rPr>
        <w:t xml:space="preserve"> (3), 263-268.</w:t>
      </w:r>
    </w:p>
    <w:p w14:paraId="72632BFF" w14:textId="77777777" w:rsidR="00485AA2" w:rsidRDefault="004A05C7"/>
    <w:sectPr w:rsidR="0048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E993" w16cex:dateUtc="2021-02-15T11:37:00Z"/>
  <w16cex:commentExtensible w16cex:durableId="23D4EA2A" w16cex:dateUtc="2021-02-15T11:4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3155"/>
    <w:multiLevelType w:val="hybridMultilevel"/>
    <w:tmpl w:val="C6289B06"/>
    <w:lvl w:ilvl="0" w:tplc="291435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E29F3"/>
    <w:multiLevelType w:val="hybridMultilevel"/>
    <w:tmpl w:val="9B7C5C20"/>
    <w:lvl w:ilvl="0" w:tplc="77DC97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E579D"/>
    <w:multiLevelType w:val="hybridMultilevel"/>
    <w:tmpl w:val="CFF46102"/>
    <w:lvl w:ilvl="0" w:tplc="41B64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8A"/>
    <w:rsid w:val="00080244"/>
    <w:rsid w:val="00420333"/>
    <w:rsid w:val="00462D6E"/>
    <w:rsid w:val="00494DE8"/>
    <w:rsid w:val="004A05C7"/>
    <w:rsid w:val="00683357"/>
    <w:rsid w:val="00693A8A"/>
    <w:rsid w:val="00944B6C"/>
    <w:rsid w:val="009C5010"/>
    <w:rsid w:val="00A7093E"/>
    <w:rsid w:val="00B172DD"/>
    <w:rsid w:val="00BB2B04"/>
    <w:rsid w:val="00D64B3A"/>
    <w:rsid w:val="00DD50D1"/>
    <w:rsid w:val="00D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0813"/>
  <w15:chartTrackingRefBased/>
  <w15:docId w15:val="{043195C7-F627-46A2-B9B4-B1D6B6B7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A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A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3A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3A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A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A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E8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A709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nl-NL"/>
    </w:rPr>
  </w:style>
  <w:style w:type="character" w:customStyle="1" w:styleId="BodyText2Char">
    <w:name w:val="Body Text 2 Char"/>
    <w:basedOn w:val="DefaultParagraphFont"/>
    <w:link w:val="BodyText2"/>
    <w:rsid w:val="00A7093E"/>
    <w:rPr>
      <w:rFonts w:ascii="Times New Roman" w:eastAsia="Times New Roman" w:hAnsi="Times New Roman" w:cs="Times New Roman"/>
      <w:i/>
      <w:iCs/>
      <w:sz w:val="20"/>
      <w:szCs w:val="20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62D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judith.gulikers@wu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snellingsplan.nl/zones/docentprofessionalisering/" TargetMode="External"/><Relationship Id="rId5" Type="http://schemas.openxmlformats.org/officeDocument/2006/relationships/hyperlink" Target="http://newmediaresearch.educ.monash.edu.au/feedbac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3449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Baartman</dc:creator>
  <cp:keywords/>
  <dc:description/>
  <cp:lastModifiedBy>Tauecchio, Nicolette</cp:lastModifiedBy>
  <cp:revision>2</cp:revision>
  <dcterms:created xsi:type="dcterms:W3CDTF">2021-03-02T11:04:00Z</dcterms:created>
  <dcterms:modified xsi:type="dcterms:W3CDTF">2021-03-02T11:04:00Z</dcterms:modified>
</cp:coreProperties>
</file>