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5F" w:rsidRPr="00525559" w:rsidRDefault="00751F72" w:rsidP="00905136">
      <w:pPr>
        <w:rPr>
          <w:rFonts w:ascii="Verdana" w:hAnsi="Verdana"/>
          <w:b/>
          <w:sz w:val="22"/>
          <w:szCs w:val="22"/>
          <w:lang w:val="en-GB"/>
        </w:rPr>
      </w:pPr>
      <w:r w:rsidRPr="00525559">
        <w:rPr>
          <w:rFonts w:ascii="Verdana" w:hAnsi="Verdana"/>
          <w:b/>
          <w:sz w:val="22"/>
          <w:szCs w:val="22"/>
          <w:lang w:val="en-GB"/>
        </w:rPr>
        <w:t xml:space="preserve">Annex 1. </w:t>
      </w:r>
      <w:r w:rsidR="007F6EBE" w:rsidRPr="00525559">
        <w:rPr>
          <w:rFonts w:ascii="Verdana" w:hAnsi="Verdana"/>
          <w:b/>
          <w:sz w:val="22"/>
          <w:szCs w:val="22"/>
          <w:lang w:val="en-GB"/>
        </w:rPr>
        <w:t>Participation form</w:t>
      </w:r>
      <w:r w:rsidR="00905136" w:rsidRPr="00525559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525559">
        <w:rPr>
          <w:rFonts w:ascii="Verdana" w:hAnsi="Verdana"/>
          <w:b/>
          <w:sz w:val="22"/>
          <w:szCs w:val="22"/>
          <w:lang w:val="en-GB"/>
        </w:rPr>
        <w:t xml:space="preserve">for antibiotics in </w:t>
      </w:r>
      <w:r w:rsidR="00AF2ABF">
        <w:rPr>
          <w:rFonts w:ascii="Verdana" w:hAnsi="Verdana"/>
          <w:b/>
          <w:sz w:val="22"/>
          <w:szCs w:val="22"/>
          <w:lang w:val="en-GB"/>
        </w:rPr>
        <w:t>bovine</w:t>
      </w:r>
      <w:r w:rsidRPr="00525559">
        <w:rPr>
          <w:rFonts w:ascii="Verdana" w:hAnsi="Verdana"/>
          <w:b/>
          <w:sz w:val="22"/>
          <w:szCs w:val="22"/>
          <w:lang w:val="en-GB"/>
        </w:rPr>
        <w:t xml:space="preserve"> muscle 201</w:t>
      </w:r>
      <w:r w:rsidR="00D224A5">
        <w:rPr>
          <w:rFonts w:ascii="Verdana" w:hAnsi="Verdana"/>
          <w:b/>
          <w:sz w:val="22"/>
          <w:szCs w:val="22"/>
          <w:lang w:val="en-GB"/>
        </w:rPr>
        <w:t>9</w:t>
      </w:r>
      <w:r w:rsidR="004C44F9">
        <w:rPr>
          <w:rFonts w:ascii="Verdana" w:hAnsi="Verdana"/>
          <w:b/>
          <w:sz w:val="22"/>
          <w:szCs w:val="22"/>
          <w:lang w:val="en-GB"/>
        </w:rPr>
        <w:t>-01</w:t>
      </w:r>
    </w:p>
    <w:p w:rsidR="00353815" w:rsidRPr="00525559" w:rsidRDefault="00353815" w:rsidP="00905136">
      <w:pPr>
        <w:rPr>
          <w:rFonts w:ascii="Verdana" w:hAnsi="Verdana"/>
          <w:sz w:val="17"/>
          <w:szCs w:val="17"/>
          <w:lang w:val="en-US"/>
        </w:rPr>
      </w:pPr>
      <w:bookmarkStart w:id="0" w:name="OLE_LINK1"/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4685"/>
      </w:tblGrid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bookmarkEnd w:id="0"/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Contact person:</w:t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E-mail:</w:t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Username for RIKILT web application (for reporting results)</w:t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X....                         </w:t>
            </w: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No username? Please register at: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D224A5" w:rsidP="00525559">
            <w:pPr>
              <w:rPr>
                <w:rFonts w:ascii="Verdana" w:hAnsi="Verdana" w:cs="Arial"/>
                <w:sz w:val="17"/>
                <w:szCs w:val="17"/>
              </w:rPr>
            </w:pPr>
            <w:hyperlink r:id="rId6" w:tgtFrame="_blank" w:history="1">
              <w:r w:rsidR="00B10A5C" w:rsidRPr="00525559">
                <w:rPr>
                  <w:rStyle w:val="Hyperlink"/>
                  <w:rFonts w:ascii="Verdana" w:hAnsi="Verdana" w:cs="Arial"/>
                  <w:sz w:val="17"/>
                  <w:szCs w:val="17"/>
                </w:rPr>
                <w:t>Register</w:t>
              </w:r>
            </w:hyperlink>
            <w:r w:rsidR="00B10A5C" w:rsidRPr="00525559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</w:tbl>
    <w:p w:rsidR="00B10A5C" w:rsidRPr="00525559" w:rsidRDefault="00B10A5C" w:rsidP="00B10A5C">
      <w:pPr>
        <w:rPr>
          <w:rFonts w:ascii="Verdana" w:hAnsi="Verdana" w:cs="Arial"/>
          <w:sz w:val="17"/>
          <w:szCs w:val="17"/>
          <w:lang w:val="en-GB"/>
        </w:rPr>
      </w:pPr>
    </w:p>
    <w:p w:rsidR="00567533" w:rsidRPr="00525559" w:rsidRDefault="00567533" w:rsidP="007F6EBE">
      <w:pPr>
        <w:rPr>
          <w:rFonts w:ascii="Verdana" w:hAnsi="Verdana"/>
          <w:sz w:val="17"/>
          <w:szCs w:val="17"/>
          <w:lang w:val="en-GB"/>
        </w:rPr>
      </w:pPr>
    </w:p>
    <w:p w:rsidR="00B87B59" w:rsidRPr="00525559" w:rsidRDefault="00345F03" w:rsidP="007F6EBE">
      <w:pPr>
        <w:rPr>
          <w:rFonts w:ascii="Verdana" w:hAnsi="Verdana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t>Please choose yes or no. If yes, please fill in Annex 2: which compounds are included in the used methods.</w:t>
      </w:r>
    </w:p>
    <w:tbl>
      <w:tblPr>
        <w:tblW w:w="9697" w:type="dxa"/>
        <w:tblLook w:val="01E0" w:firstRow="1" w:lastRow="1" w:firstColumn="1" w:lastColumn="1" w:noHBand="0" w:noVBand="0"/>
      </w:tblPr>
      <w:tblGrid>
        <w:gridCol w:w="4202"/>
        <w:gridCol w:w="1077"/>
        <w:gridCol w:w="4418"/>
      </w:tblGrid>
      <w:tr w:rsidR="00C42DA6" w:rsidRPr="00525559" w:rsidTr="00A3483C"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Test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A6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Method used</w:t>
            </w:r>
          </w:p>
        </w:tc>
      </w:tr>
      <w:tr w:rsidR="00C42DA6" w:rsidRPr="00525559" w:rsidTr="00A3483C">
        <w:tc>
          <w:tcPr>
            <w:tcW w:w="4202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</w:t>
            </w:r>
            <w:r w:rsidR="004F395F"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 aminoglycosides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 ß-lactams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 macrolides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 quinolones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Screening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sulfonamides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Screening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tetracyclin</w:t>
            </w:r>
            <w:r w:rsidR="00EC60F8" w:rsidRPr="00525559">
              <w:rPr>
                <w:rFonts w:ascii="Verdana" w:hAnsi="Verdana"/>
                <w:sz w:val="17"/>
                <w:szCs w:val="17"/>
                <w:lang w:val="en-GB"/>
              </w:rPr>
              <w:t>e</w:t>
            </w: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aminoglycosides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ß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-lactams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macrolides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quinolones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Confirmation + quantification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sulfonamides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ED6AD9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ED6AD9" w:rsidRPr="00525559" w:rsidRDefault="00ED6AD9" w:rsidP="00EE5AF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Confirmation + quantification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tetracyclin</w:t>
            </w:r>
            <w:r w:rsidR="00EC60F8" w:rsidRPr="00525559">
              <w:rPr>
                <w:rFonts w:ascii="Verdana" w:hAnsi="Verdana"/>
                <w:sz w:val="17"/>
                <w:szCs w:val="17"/>
                <w:lang w:val="en-GB"/>
              </w:rPr>
              <w:t>e</w:t>
            </w: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ED6AD9" w:rsidRPr="00525559" w:rsidRDefault="00ED6AD9" w:rsidP="00EE5AF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ED6AD9" w:rsidRPr="00525559" w:rsidRDefault="00ED6AD9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B4024B" w:rsidRPr="00525559" w:rsidRDefault="00B4024B" w:rsidP="007F6EBE">
      <w:pPr>
        <w:rPr>
          <w:rFonts w:ascii="Verdana" w:hAnsi="Verdana"/>
          <w:sz w:val="17"/>
          <w:szCs w:val="17"/>
          <w:lang w:val="en-GB"/>
        </w:rPr>
      </w:pPr>
    </w:p>
    <w:p w:rsidR="00B87B59" w:rsidRPr="00525559" w:rsidRDefault="00B87B59" w:rsidP="007F6EBE">
      <w:pPr>
        <w:rPr>
          <w:rFonts w:ascii="Verdana" w:hAnsi="Verdana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t xml:space="preserve">I hereby accept the conditions for participation as outlined in the letter accompanying this form. </w:t>
      </w:r>
    </w:p>
    <w:p w:rsidR="00B87B59" w:rsidRPr="00525559" w:rsidRDefault="00B87B59" w:rsidP="007F6EBE">
      <w:pPr>
        <w:rPr>
          <w:rFonts w:ascii="Verdana" w:hAnsi="Verdana"/>
          <w:sz w:val="17"/>
          <w:szCs w:val="17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70"/>
      </w:tblGrid>
      <w:tr w:rsidR="003416A6" w:rsidRPr="00525559" w:rsidTr="00765B5F">
        <w:trPr>
          <w:trHeight w:val="284"/>
        </w:trPr>
        <w:tc>
          <w:tcPr>
            <w:tcW w:w="3227" w:type="dxa"/>
            <w:shd w:val="clear" w:color="auto" w:fill="auto"/>
          </w:tcPr>
          <w:p w:rsidR="003416A6" w:rsidRPr="00525559" w:rsidRDefault="003416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Date / Signature:</w:t>
            </w: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ab/>
            </w:r>
          </w:p>
        </w:tc>
        <w:tc>
          <w:tcPr>
            <w:tcW w:w="6470" w:type="dxa"/>
            <w:shd w:val="clear" w:color="auto" w:fill="auto"/>
          </w:tcPr>
          <w:p w:rsidR="003416A6" w:rsidRPr="00525559" w:rsidRDefault="003416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B87B59" w:rsidRPr="00525559" w:rsidRDefault="00B87B59" w:rsidP="007F6EBE">
      <w:pPr>
        <w:rPr>
          <w:rFonts w:ascii="Verdana" w:hAnsi="Verdana"/>
          <w:color w:val="C0C0C0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</w:p>
    <w:p w:rsidR="005A573C" w:rsidRPr="00A3262C" w:rsidRDefault="005A573C" w:rsidP="005A573C">
      <w:pPr>
        <w:rPr>
          <w:rFonts w:ascii="Verdana" w:hAnsi="Verdana" w:cs="Arial"/>
          <w:sz w:val="17"/>
          <w:szCs w:val="17"/>
          <w:lang w:val="en-GB"/>
        </w:rPr>
      </w:pPr>
      <w:r w:rsidRPr="00A3262C">
        <w:rPr>
          <w:rFonts w:ascii="Verdana" w:hAnsi="Verdana" w:cs="Arial"/>
          <w:sz w:val="17"/>
          <w:szCs w:val="17"/>
          <w:lang w:val="en-GB"/>
        </w:rPr>
        <w:t xml:space="preserve">Please sign this document and send a scan of it to </w:t>
      </w:r>
      <w:proofErr w:type="spellStart"/>
      <w:r w:rsidRPr="00A3262C">
        <w:rPr>
          <w:rFonts w:ascii="Verdana" w:hAnsi="Verdana" w:cs="Arial"/>
          <w:sz w:val="17"/>
          <w:szCs w:val="17"/>
          <w:lang w:val="en-GB"/>
        </w:rPr>
        <w:t>pt.rikilt@wur</w:t>
      </w:r>
      <w:proofErr w:type="spellEnd"/>
      <w:r w:rsidRPr="00A3262C">
        <w:rPr>
          <w:rFonts w:ascii="Verdana" w:hAnsi="Verdana" w:cs="Arial"/>
          <w:sz w:val="17"/>
          <w:szCs w:val="17"/>
          <w:lang w:val="en-GB"/>
        </w:rPr>
        <w:t xml:space="preserve">. Please subscribe before </w:t>
      </w:r>
      <w:r w:rsidR="006E6480" w:rsidRPr="006E6480">
        <w:rPr>
          <w:rFonts w:ascii="Verdana" w:hAnsi="Verdana" w:cs="Arial"/>
          <w:b/>
          <w:sz w:val="17"/>
          <w:szCs w:val="17"/>
          <w:lang w:val="en-GB"/>
        </w:rPr>
        <w:t xml:space="preserve">January </w:t>
      </w:r>
      <w:r w:rsidR="00D224A5">
        <w:rPr>
          <w:rFonts w:ascii="Verdana" w:hAnsi="Verdana" w:cs="Arial"/>
          <w:b/>
          <w:sz w:val="17"/>
          <w:szCs w:val="17"/>
          <w:lang w:val="en-GB"/>
        </w:rPr>
        <w:t>25</w:t>
      </w:r>
      <w:bookmarkStart w:id="1" w:name="_GoBack"/>
      <w:bookmarkEnd w:id="1"/>
      <w:r w:rsidR="006E6480" w:rsidRPr="006E6480">
        <w:rPr>
          <w:rFonts w:ascii="Verdana" w:hAnsi="Verdana" w:cs="Arial"/>
          <w:b/>
          <w:sz w:val="17"/>
          <w:szCs w:val="17"/>
          <w:lang w:val="en-GB"/>
        </w:rPr>
        <w:t xml:space="preserve"> 2018</w:t>
      </w:r>
      <w:r w:rsidR="006E6480">
        <w:rPr>
          <w:rFonts w:ascii="Verdana" w:hAnsi="Verdana" w:cs="Arial"/>
          <w:sz w:val="17"/>
          <w:szCs w:val="17"/>
          <w:lang w:val="en-GB"/>
        </w:rPr>
        <w:t>.</w:t>
      </w:r>
    </w:p>
    <w:p w:rsidR="001B525B" w:rsidRPr="00525559" w:rsidRDefault="001B525B">
      <w:pPr>
        <w:rPr>
          <w:rFonts w:ascii="Verdana" w:hAnsi="Verdana"/>
          <w:color w:val="00366C"/>
          <w:sz w:val="17"/>
          <w:szCs w:val="17"/>
          <w:lang w:val="en-GB"/>
        </w:rPr>
      </w:pPr>
    </w:p>
    <w:p w:rsidR="00385DD6" w:rsidRPr="00176C81" w:rsidRDefault="00385DD6" w:rsidP="00385DD6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>Ingrid Elbers</w:t>
      </w:r>
    </w:p>
    <w:p w:rsidR="00385DD6" w:rsidRPr="00176C81" w:rsidRDefault="00385DD6" w:rsidP="00385DD6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>Proficiency tests</w:t>
      </w:r>
    </w:p>
    <w:p w:rsidR="00385DD6" w:rsidRPr="00176C81" w:rsidRDefault="00385DD6" w:rsidP="00385DD6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>RIKILT Wageningen University &amp; Research</w:t>
      </w:r>
    </w:p>
    <w:p w:rsidR="00385DD6" w:rsidRPr="00176C81" w:rsidRDefault="00385DD6" w:rsidP="00385DD6">
      <w:pPr>
        <w:rPr>
          <w:rFonts w:ascii="Verdana" w:hAnsi="Verdana" w:cs="Arial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</w:rPr>
        <w:t>Netherlands</w:t>
      </w:r>
    </w:p>
    <w:p w:rsidR="00751F72" w:rsidRPr="00525559" w:rsidRDefault="00751F72" w:rsidP="00751F72">
      <w:pPr>
        <w:rPr>
          <w:rFonts w:ascii="Verdana" w:hAnsi="Verdana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br w:type="page"/>
      </w:r>
    </w:p>
    <w:tbl>
      <w:tblPr>
        <w:tblpPr w:leftFromText="180" w:rightFromText="180" w:vertAnchor="page" w:horzAnchor="margin" w:tblpY="268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51F72" w:rsidRPr="00D224A5" w:rsidTr="00AD0191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72" w:rsidRPr="00525559" w:rsidRDefault="00751F72" w:rsidP="00AD0191">
            <w:pPr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lastRenderedPageBreak/>
              <w:t>S</w:t>
            </w:r>
            <w:r w:rsidR="008B377E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creening at MRL-level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(if applicable)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51F72" w:rsidRPr="00525559" w:rsidRDefault="00751F72" w:rsidP="00AD0191">
            <w:pPr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</w:t>
            </w:r>
            <w:r w:rsidR="008B377E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onfirmation at MRL-level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(if applicable)</w:t>
            </w:r>
          </w:p>
        </w:tc>
      </w:tr>
      <w:tr w:rsidR="00751F72" w:rsidRPr="00D224A5" w:rsidTr="00AD0191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aminoglycosides (if you tick this, then do not tick the separate compounds below)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aminoglycosides (if you tick this, then do not tick the separate compounds below)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Apramycin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Apramycin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Dihydrostreptomycin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Dihydrostreptomycin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Gentamicin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Gentamicin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Kanamycin (A)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Kanamycin (A)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Neomycin (B)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Neomycin (B)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Paromomycin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Paromomycin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Spectinomycin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Spectinomycin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Streptomycin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Streptomycin</w:t>
            </w:r>
          </w:p>
        </w:tc>
      </w:tr>
      <w:tr w:rsidR="008B377E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751F72" w:rsidRPr="00D224A5" w:rsidTr="00AD0191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ß-lactams</w:t>
            </w:r>
            <w:r w:rsidR="00345F03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cephalosporines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ß-lactams</w:t>
            </w:r>
            <w:r w:rsidR="00345F03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 cephalosporines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Amoxicillin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Amoxicillin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Ampicillin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Ampicillin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Cloxacillin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Cloxacillin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Dicloxacillin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Dicloxacillin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Na</w:t>
            </w:r>
            <w:r w:rsidR="002D4DD2"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f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Na</w:t>
            </w:r>
            <w:r w:rsidR="002D4DD2"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f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Oxacillin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Oxacillin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Penicillin 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Penicillin G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Penicillin V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Penicillin V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Cefalexin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Cefalexin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Cefalothin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Cefalothin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(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including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desacetylcefapirin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(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including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desacetylcefapirin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) 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Cefquinome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Cefquinome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Cefradine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Cefradine</w:t>
            </w:r>
          </w:p>
        </w:tc>
      </w:tr>
      <w:tr w:rsidR="00751F72" w:rsidRPr="00D224A5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Ceftiofur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 (including all active metabolites)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Ceftiofur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 (including all active metabolites)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Cefuroxime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Cefuroxime</w:t>
            </w:r>
            <w:proofErr w:type="spellEnd"/>
          </w:p>
        </w:tc>
      </w:tr>
      <w:tr w:rsidR="008B377E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751F72" w:rsidRPr="00525559" w:rsidTr="00AD0191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macrolides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including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lincosamides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macrolides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including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lincosamides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46527F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="0046527F" w:rsidRPr="00525559">
              <w:rPr>
                <w:rFonts w:ascii="Verdana" w:hAnsi="Verdana" w:cs="Arial"/>
                <w:sz w:val="17"/>
                <w:szCs w:val="17"/>
              </w:rPr>
              <w:t>Tylvalosin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46527F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="0046527F" w:rsidRPr="00525559">
              <w:rPr>
                <w:rFonts w:ascii="Verdana" w:hAnsi="Verdana" w:cs="Arial"/>
                <w:sz w:val="17"/>
                <w:szCs w:val="17"/>
              </w:rPr>
              <w:t>Tylvalosin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Erythromycin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Erythromycin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Gamithromycin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Gamithromycin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Josamycin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Josamycin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Lincomycin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Lincomycin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Pirlimycin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Pirlimycin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Spiramycin</w:t>
            </w:r>
            <w:proofErr w:type="spellEnd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I</w:t>
            </w:r>
            <w:r w:rsidRPr="00525559">
              <w:rPr>
                <w:rFonts w:ascii="Verdana" w:hAnsi="Verdana" w:cs="Arial"/>
                <w:sz w:val="17"/>
                <w:szCs w:val="17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Spiramycin</w:t>
            </w:r>
            <w:proofErr w:type="spellEnd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I</w:t>
            </w:r>
            <w:r w:rsidRPr="00525559">
              <w:rPr>
                <w:rFonts w:ascii="Verdana" w:hAnsi="Verdana" w:cs="Arial"/>
                <w:sz w:val="17"/>
                <w:szCs w:val="17"/>
              </w:rPr>
              <w:tab/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Tiamulin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Tiamulin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Tildipyrosin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Tildipyrosin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Tilmicosin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Tilmicosin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Tulathromycin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Tulathromycin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Tylosin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Tylosin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Valnemulin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Valnemulin</w:t>
            </w:r>
            <w:proofErr w:type="spellEnd"/>
          </w:p>
        </w:tc>
      </w:tr>
      <w:tr w:rsidR="008B377E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P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AD0191" w:rsidRPr="00EB64A2" w:rsidRDefault="00AD0191">
      <w:pPr>
        <w:rPr>
          <w:rFonts w:ascii="Verdana" w:hAnsi="Verdana"/>
          <w:b/>
          <w:sz w:val="22"/>
          <w:szCs w:val="22"/>
        </w:rPr>
      </w:pPr>
      <w:r w:rsidRPr="00EB64A2">
        <w:rPr>
          <w:rFonts w:ascii="Verdana" w:hAnsi="Verdana"/>
          <w:b/>
          <w:sz w:val="22"/>
          <w:szCs w:val="22"/>
        </w:rPr>
        <w:t xml:space="preserve">Annex 2: </w:t>
      </w:r>
      <w:proofErr w:type="spellStart"/>
      <w:r w:rsidRPr="00EB64A2">
        <w:rPr>
          <w:rFonts w:ascii="Verdana" w:hAnsi="Verdana"/>
          <w:b/>
          <w:sz w:val="22"/>
          <w:szCs w:val="22"/>
        </w:rPr>
        <w:t>Included</w:t>
      </w:r>
      <w:proofErr w:type="spellEnd"/>
      <w:r w:rsidRPr="00EB64A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B64A2">
        <w:rPr>
          <w:rFonts w:ascii="Verdana" w:hAnsi="Verdana"/>
          <w:b/>
          <w:sz w:val="22"/>
          <w:szCs w:val="22"/>
        </w:rPr>
        <w:t>compounds</w:t>
      </w:r>
      <w:proofErr w:type="spellEnd"/>
      <w:r w:rsidRPr="00EB64A2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Pr="00EB64A2">
        <w:rPr>
          <w:rFonts w:ascii="Verdana" w:hAnsi="Verdana"/>
          <w:b/>
          <w:sz w:val="22"/>
          <w:szCs w:val="22"/>
        </w:rPr>
        <w:t>methods</w:t>
      </w:r>
      <w:proofErr w:type="spellEnd"/>
    </w:p>
    <w:p w:rsidR="00AD0191" w:rsidRPr="00525559" w:rsidRDefault="00AD0191">
      <w:pPr>
        <w:rPr>
          <w:rFonts w:ascii="Verdana" w:hAnsi="Verdana"/>
          <w:sz w:val="17"/>
          <w:szCs w:val="17"/>
        </w:rPr>
      </w:pPr>
    </w:p>
    <w:p w:rsidR="008B377E" w:rsidRPr="00525559" w:rsidRDefault="008B377E">
      <w:pPr>
        <w:rPr>
          <w:rFonts w:ascii="Verdana" w:hAnsi="Verdana"/>
          <w:sz w:val="17"/>
          <w:szCs w:val="1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lastRenderedPageBreak/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quinolones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quinolones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Ciprofloxacin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Ciprofloxacin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Danofloxacin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Danofloxacin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Enrofloxacin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Enrofloxacin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Flumequin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Flumequin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Marbofloxacin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Marbofloxacin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Nalidixic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Nalidixic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Norfloxacine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Norfloxacine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Oxolinic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Oxolinic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Sarafloxacine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Sarafloxacine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B377E" w:rsidRPr="00D224A5" w:rsidTr="00345F0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77E" w:rsidRPr="00513BA5" w:rsidRDefault="008B377E" w:rsidP="00F11EEA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13BA5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All </w:t>
            </w:r>
            <w:proofErr w:type="spellStart"/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>sulfonamides</w:t>
            </w:r>
            <w:proofErr w:type="spellEnd"/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</w:t>
            </w:r>
            <w:r w:rsidR="00513BA5"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="00513BA5"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>dapson</w:t>
            </w:r>
            <w:proofErr w:type="spellEnd"/>
            <w:r w:rsidR="00513BA5"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and</w:t>
            </w:r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trimethoprim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77E" w:rsidRPr="00EB64A2" w:rsidRDefault="008B377E" w:rsidP="00F11EEA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EB64A2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All </w:t>
            </w:r>
            <w:proofErr w:type="spellStart"/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>sulfonamides</w:t>
            </w:r>
            <w:proofErr w:type="spellEnd"/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 </w:t>
            </w:r>
            <w:proofErr w:type="spellStart"/>
            <w:r w:rsidR="00513BA5"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>dapson</w:t>
            </w:r>
            <w:proofErr w:type="spellEnd"/>
            <w:r w:rsidR="00513BA5"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and </w:t>
            </w:r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>trimethoprim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Dapsone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Dapsone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Sulfachloropyridazine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Sulfachloropyridazine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Sulfadiazine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Sulfadiazine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Sulfadimethoxine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Sulfadimethoxine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Sulfadimidine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Sulfadimidine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Sulfadoxine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Sulfadoxine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Sulfamerazine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Sulfamerazine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Sulfamethizole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Sulfamethizole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Sulfamethoxazole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Sulfamethoxazole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Sulfamethoxypyridazine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Sulfamethoxypyridazine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Sulfamonomethoxine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Sulfamonomethoxine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Sulfamoxole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Sulfamoxole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Sulfapyridine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Sulfapyridine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Sulfaquinoxaline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Sulfaquinoxaline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Sulfathiazole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Sulfathiazole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Sulfisoxazole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Sulfisoxazole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Trimethoprim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Trimethoprim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B377E" w:rsidRPr="00525559" w:rsidTr="00345F0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tetracyclins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tetracyclins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Chlortetracycline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Chlortetracycline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Doxycycline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Doxycycline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Oxytetracycline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Oxytetracycline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Tetracycline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Tetracycline</w:t>
            </w:r>
          </w:p>
        </w:tc>
      </w:tr>
    </w:tbl>
    <w:p w:rsidR="00751F72" w:rsidRPr="00525559" w:rsidRDefault="00751F72" w:rsidP="00751F72">
      <w:pPr>
        <w:rPr>
          <w:rFonts w:ascii="Verdana" w:hAnsi="Verdana"/>
          <w:sz w:val="17"/>
          <w:szCs w:val="17"/>
          <w:lang w:val="en-GB"/>
        </w:rPr>
      </w:pPr>
    </w:p>
    <w:p w:rsidR="00567533" w:rsidRPr="00525559" w:rsidRDefault="00567533">
      <w:pPr>
        <w:rPr>
          <w:rFonts w:ascii="Verdana" w:hAnsi="Verdana"/>
          <w:sz w:val="17"/>
          <w:szCs w:val="17"/>
          <w:lang w:val="en-GB"/>
        </w:rPr>
      </w:pPr>
    </w:p>
    <w:sectPr w:rsidR="00567533" w:rsidRPr="00525559" w:rsidSect="008B377E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59" w:rsidRDefault="00525559">
      <w:r>
        <w:separator/>
      </w:r>
    </w:p>
  </w:endnote>
  <w:endnote w:type="continuationSeparator" w:id="0">
    <w:p w:rsidR="00525559" w:rsidRDefault="0052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59" w:rsidRDefault="00525559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224A5">
      <w:rPr>
        <w:noProof/>
      </w:rPr>
      <w:t>3</w:t>
    </w:r>
    <w:r>
      <w:fldChar w:fldCharType="end"/>
    </w:r>
  </w:p>
  <w:p w:rsidR="00525559" w:rsidRDefault="005255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59" w:rsidRDefault="00525559">
      <w:r>
        <w:separator/>
      </w:r>
    </w:p>
  </w:footnote>
  <w:footnote w:type="continuationSeparator" w:id="0">
    <w:p w:rsidR="00525559" w:rsidRDefault="0052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59" w:rsidRDefault="00525559" w:rsidP="004F395F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00E5AF6" wp14:editId="41C4391A">
          <wp:extent cx="2495550" cy="6238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62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A"/>
    <w:rsid w:val="00013BBD"/>
    <w:rsid w:val="0001457A"/>
    <w:rsid w:val="00021658"/>
    <w:rsid w:val="00063579"/>
    <w:rsid w:val="00077B6A"/>
    <w:rsid w:val="00086800"/>
    <w:rsid w:val="00087937"/>
    <w:rsid w:val="000D3756"/>
    <w:rsid w:val="000F5757"/>
    <w:rsid w:val="000F61F5"/>
    <w:rsid w:val="001624A2"/>
    <w:rsid w:val="00197981"/>
    <w:rsid w:val="001B525B"/>
    <w:rsid w:val="001B5260"/>
    <w:rsid w:val="001D5D2E"/>
    <w:rsid w:val="001E3F29"/>
    <w:rsid w:val="00212E7D"/>
    <w:rsid w:val="00233D1A"/>
    <w:rsid w:val="00250C7D"/>
    <w:rsid w:val="00254A39"/>
    <w:rsid w:val="002579BB"/>
    <w:rsid w:val="00265AD5"/>
    <w:rsid w:val="0027444B"/>
    <w:rsid w:val="00284752"/>
    <w:rsid w:val="002D4DD2"/>
    <w:rsid w:val="003365F7"/>
    <w:rsid w:val="003416A6"/>
    <w:rsid w:val="00345F03"/>
    <w:rsid w:val="00353075"/>
    <w:rsid w:val="00353815"/>
    <w:rsid w:val="003607ED"/>
    <w:rsid w:val="00363AEC"/>
    <w:rsid w:val="00370620"/>
    <w:rsid w:val="00372A3F"/>
    <w:rsid w:val="00385DD6"/>
    <w:rsid w:val="003A08A1"/>
    <w:rsid w:val="003B3060"/>
    <w:rsid w:val="0040702B"/>
    <w:rsid w:val="0046527F"/>
    <w:rsid w:val="004834BC"/>
    <w:rsid w:val="00483703"/>
    <w:rsid w:val="004C099F"/>
    <w:rsid w:val="004C44F9"/>
    <w:rsid w:val="004C6738"/>
    <w:rsid w:val="004F395F"/>
    <w:rsid w:val="004F6E09"/>
    <w:rsid w:val="00513BA5"/>
    <w:rsid w:val="0052427A"/>
    <w:rsid w:val="00525559"/>
    <w:rsid w:val="00554F21"/>
    <w:rsid w:val="00567533"/>
    <w:rsid w:val="005721B9"/>
    <w:rsid w:val="005A573C"/>
    <w:rsid w:val="005E0D33"/>
    <w:rsid w:val="00634E60"/>
    <w:rsid w:val="00644178"/>
    <w:rsid w:val="00671AD0"/>
    <w:rsid w:val="006C05C6"/>
    <w:rsid w:val="006C3A21"/>
    <w:rsid w:val="006E6480"/>
    <w:rsid w:val="006F43FD"/>
    <w:rsid w:val="00751F72"/>
    <w:rsid w:val="00765B5F"/>
    <w:rsid w:val="00773CDB"/>
    <w:rsid w:val="00776C24"/>
    <w:rsid w:val="0078233D"/>
    <w:rsid w:val="007F6EBE"/>
    <w:rsid w:val="00824CE6"/>
    <w:rsid w:val="00843F2E"/>
    <w:rsid w:val="0087202D"/>
    <w:rsid w:val="008B377E"/>
    <w:rsid w:val="008B53A2"/>
    <w:rsid w:val="008E0D79"/>
    <w:rsid w:val="008E61DE"/>
    <w:rsid w:val="008F67C5"/>
    <w:rsid w:val="00905136"/>
    <w:rsid w:val="0093622B"/>
    <w:rsid w:val="00956EFC"/>
    <w:rsid w:val="00976C91"/>
    <w:rsid w:val="009D10AF"/>
    <w:rsid w:val="009F5C68"/>
    <w:rsid w:val="00A11F86"/>
    <w:rsid w:val="00A3483C"/>
    <w:rsid w:val="00A83ECA"/>
    <w:rsid w:val="00A8491D"/>
    <w:rsid w:val="00AC3BB2"/>
    <w:rsid w:val="00AD0191"/>
    <w:rsid w:val="00AF2ABF"/>
    <w:rsid w:val="00B10A5C"/>
    <w:rsid w:val="00B37CD5"/>
    <w:rsid w:val="00B4024B"/>
    <w:rsid w:val="00B63720"/>
    <w:rsid w:val="00B87B59"/>
    <w:rsid w:val="00BE038B"/>
    <w:rsid w:val="00C102EB"/>
    <w:rsid w:val="00C42DA6"/>
    <w:rsid w:val="00C61452"/>
    <w:rsid w:val="00CB4E66"/>
    <w:rsid w:val="00D05C03"/>
    <w:rsid w:val="00D224A5"/>
    <w:rsid w:val="00D2710F"/>
    <w:rsid w:val="00D3716D"/>
    <w:rsid w:val="00D7427E"/>
    <w:rsid w:val="00DF3533"/>
    <w:rsid w:val="00E21A41"/>
    <w:rsid w:val="00E279BC"/>
    <w:rsid w:val="00E463A6"/>
    <w:rsid w:val="00E70FA9"/>
    <w:rsid w:val="00E82DB8"/>
    <w:rsid w:val="00E9307B"/>
    <w:rsid w:val="00E94FEA"/>
    <w:rsid w:val="00EB64A2"/>
    <w:rsid w:val="00EC60F8"/>
    <w:rsid w:val="00EC76F2"/>
    <w:rsid w:val="00ED5FFC"/>
    <w:rsid w:val="00ED6AD9"/>
    <w:rsid w:val="00EE5AF0"/>
    <w:rsid w:val="00EF4357"/>
    <w:rsid w:val="00F070D9"/>
    <w:rsid w:val="00F11EEA"/>
    <w:rsid w:val="00F343BB"/>
    <w:rsid w:val="00F511E6"/>
    <w:rsid w:val="00F61299"/>
    <w:rsid w:val="00FB6C3A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  <w14:docId w14:val="0C0744CD"/>
  <w15:docId w15:val="{9181EA11-2738-4498-9C80-873A20A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  <w:link w:val="VoettekstChar"/>
    <w:uiPriority w:val="99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751F72"/>
    <w:rPr>
      <w:rFonts w:ascii="Arial" w:hAnsi="Arial"/>
      <w:kern w:val="12"/>
      <w:sz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A2507E3A.dotm</Template>
  <TotalTime>12</TotalTime>
  <Pages>3</Pages>
  <Words>555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4164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mailto:pt.rikilt@wur.nl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5</cp:revision>
  <cp:lastPrinted>2013-01-11T10:05:00Z</cp:lastPrinted>
  <dcterms:created xsi:type="dcterms:W3CDTF">2018-01-07T12:54:00Z</dcterms:created>
  <dcterms:modified xsi:type="dcterms:W3CDTF">2018-12-17T15:25:00Z</dcterms:modified>
</cp:coreProperties>
</file>