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0D9A" w14:textId="4A7D0FF1" w:rsidR="00107257" w:rsidRDefault="00730B2E" w:rsidP="003A7074">
      <w:pPr>
        <w:pStyle w:val="Pagedecouverture"/>
      </w:pPr>
      <w:bookmarkStart w:id="0" w:name="LW_BM_COVERPAGE"/>
      <w:bookmarkStart w:id="1" w:name="_GoBack"/>
      <w:bookmarkEnd w:id="1"/>
      <w:r>
        <w:rPr>
          <w:noProof/>
          <w:lang w:eastAsia="en-GB"/>
        </w:rPr>
        <w:drawing>
          <wp:inline distT="0" distB="0" distL="0" distR="0" wp14:anchorId="0B906108" wp14:editId="2EDC0A1F">
            <wp:extent cx="5724525" cy="4991100"/>
            <wp:effectExtent l="0" t="0" r="9525" b="0"/>
            <wp:docPr id="1" name="Picture 1" descr="82999ACE-C565-4CC1-94D9-9B1E86CD1F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999ACE-C565-4CC1-94D9-9B1E86CD1F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991100"/>
                    </a:xfrm>
                    <a:prstGeom prst="rect">
                      <a:avLst/>
                    </a:prstGeom>
                    <a:noFill/>
                    <a:ln>
                      <a:noFill/>
                    </a:ln>
                  </pic:spPr>
                </pic:pic>
              </a:graphicData>
            </a:graphic>
          </wp:inline>
        </w:drawing>
      </w:r>
    </w:p>
    <w:bookmarkEnd w:id="0"/>
    <w:p w14:paraId="0B6391AB" w14:textId="77777777" w:rsidR="00107257" w:rsidRPr="00107257" w:rsidRDefault="00107257" w:rsidP="00107257">
      <w:pPr>
        <w:pStyle w:val="Pagedecouverture"/>
        <w:sectPr w:rsidR="00107257" w:rsidRPr="00107257" w:rsidSect="003A707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52C0C98F" w14:textId="28E3F9E5" w:rsidR="009D6648" w:rsidRDefault="009D6648" w:rsidP="00FA2460">
      <w:pPr>
        <w:spacing w:before="0" w:after="200" w:line="276" w:lineRule="auto"/>
        <w:jc w:val="center"/>
        <w:rPr>
          <w:b/>
        </w:rPr>
      </w:pPr>
    </w:p>
    <w:p w14:paraId="7488A857" w14:textId="27EF2505" w:rsidR="00BC15DE" w:rsidRPr="00FA2460" w:rsidRDefault="00803E1D" w:rsidP="00FA2460">
      <w:pPr>
        <w:spacing w:before="0" w:after="200" w:line="276" w:lineRule="auto"/>
        <w:jc w:val="center"/>
        <w:rPr>
          <w:b/>
          <w:sz w:val="20"/>
          <w:szCs w:val="20"/>
        </w:rPr>
      </w:pPr>
      <w:r w:rsidRPr="00FA2460">
        <w:rPr>
          <w:b/>
          <w:sz w:val="20"/>
          <w:szCs w:val="20"/>
        </w:rPr>
        <w:t xml:space="preserve">ANNEX </w:t>
      </w:r>
      <w:r w:rsidR="00BC15DE" w:rsidRPr="00FA2460">
        <w:rPr>
          <w:b/>
          <w:sz w:val="20"/>
          <w:szCs w:val="20"/>
        </w:rPr>
        <w:t>I</w:t>
      </w:r>
    </w:p>
    <w:p w14:paraId="1D9C88DE" w14:textId="494BA7A4" w:rsidR="009D065C" w:rsidRPr="00EC3B28" w:rsidRDefault="009D065C" w:rsidP="005E3C82">
      <w:pPr>
        <w:ind w:left="360"/>
        <w:rPr>
          <w:sz w:val="20"/>
          <w:szCs w:val="20"/>
        </w:rPr>
      </w:pPr>
    </w:p>
    <w:p w14:paraId="47840F07" w14:textId="77777777" w:rsidR="00A73D5E" w:rsidRPr="0093298D" w:rsidRDefault="00A73D5E" w:rsidP="00A73D5E">
      <w:pPr>
        <w:pStyle w:val="Heading1"/>
        <w:rPr>
          <w:rFonts w:ascii="Times New Roman" w:hAnsi="Times New Roman" w:cs="Times New Roman"/>
          <w:color w:val="000000" w:themeColor="text1"/>
          <w:sz w:val="24"/>
          <w:szCs w:val="24"/>
        </w:rPr>
      </w:pPr>
      <w:bookmarkStart w:id="2" w:name="_Toc5193379"/>
      <w:r w:rsidRPr="0093298D">
        <w:rPr>
          <w:rFonts w:ascii="Times New Roman" w:hAnsi="Times New Roman" w:cs="Times New Roman"/>
          <w:color w:val="000000" w:themeColor="text1"/>
          <w:sz w:val="24"/>
          <w:szCs w:val="24"/>
        </w:rPr>
        <w:t>Chapter 1: Performance criteria and other requirements for analytical methods</w:t>
      </w:r>
      <w:bookmarkEnd w:id="2"/>
    </w:p>
    <w:p w14:paraId="30416320" w14:textId="77777777" w:rsidR="00A73D5E" w:rsidRPr="00EC3B28" w:rsidRDefault="00A73D5E" w:rsidP="00A73D5E">
      <w:pPr>
        <w:pStyle w:val="Heading2"/>
        <w:rPr>
          <w:rFonts w:ascii="Times New Roman" w:eastAsia="Arial" w:hAnsi="Times New Roman" w:cs="Times New Roman"/>
          <w:color w:val="000000" w:themeColor="text1"/>
          <w:sz w:val="20"/>
          <w:szCs w:val="20"/>
        </w:rPr>
      </w:pPr>
      <w:bookmarkStart w:id="3" w:name="_Toc535221023"/>
      <w:bookmarkStart w:id="4" w:name="_Toc5193380"/>
      <w:r w:rsidRPr="00EC3B28">
        <w:rPr>
          <w:rFonts w:ascii="Times New Roman" w:hAnsi="Times New Roman" w:cs="Times New Roman"/>
          <w:color w:val="000000" w:themeColor="text1"/>
          <w:sz w:val="20"/>
          <w:szCs w:val="20"/>
        </w:rPr>
        <w:t>1</w:t>
      </w:r>
      <w:bookmarkEnd w:id="3"/>
      <w:r w:rsidRPr="00EC3B28">
        <w:rPr>
          <w:rFonts w:ascii="Times New Roman" w:hAnsi="Times New Roman" w:cs="Times New Roman"/>
          <w:color w:val="000000" w:themeColor="text1"/>
          <w:sz w:val="20"/>
          <w:szCs w:val="20"/>
        </w:rPr>
        <w:t>.1</w:t>
      </w:r>
      <w:bookmarkStart w:id="5" w:name="_Toc535221024"/>
      <w:r w:rsidRPr="00EC3B28">
        <w:rPr>
          <w:rFonts w:ascii="Times New Roman" w:hAnsi="Times New Roman" w:cs="Times New Roman"/>
          <w:color w:val="000000" w:themeColor="text1"/>
          <w:sz w:val="20"/>
          <w:szCs w:val="20"/>
        </w:rPr>
        <w:t xml:space="preserve"> Requirements of screening methods</w:t>
      </w:r>
      <w:bookmarkEnd w:id="4"/>
      <w:bookmarkEnd w:id="5"/>
    </w:p>
    <w:p w14:paraId="57848576" w14:textId="77777777" w:rsidR="00A73D5E" w:rsidRPr="00EC3B28" w:rsidRDefault="00A73D5E" w:rsidP="00A73D5E">
      <w:pPr>
        <w:pStyle w:val="Heading3"/>
        <w:rPr>
          <w:rFonts w:ascii="Times New Roman" w:eastAsia="Arial" w:hAnsi="Times New Roman" w:cs="Times New Roman"/>
          <w:color w:val="000000" w:themeColor="text1"/>
          <w:sz w:val="20"/>
          <w:szCs w:val="20"/>
        </w:rPr>
      </w:pPr>
      <w:bookmarkStart w:id="6" w:name="_Toc5193381"/>
      <w:r w:rsidRPr="00EC3B28">
        <w:rPr>
          <w:rFonts w:ascii="Times New Roman" w:eastAsia="Arial" w:hAnsi="Times New Roman" w:cs="Times New Roman"/>
          <w:color w:val="000000" w:themeColor="text1"/>
          <w:sz w:val="20"/>
          <w:szCs w:val="20"/>
        </w:rPr>
        <w:t>1.1.1 Categories of suitable screening methods</w:t>
      </w:r>
      <w:bookmarkEnd w:id="6"/>
    </w:p>
    <w:p w14:paraId="1200DA9C" w14:textId="77777777" w:rsidR="00A73D5E" w:rsidRPr="00EC3B28" w:rsidRDefault="00A73D5E" w:rsidP="00A73D5E">
      <w:pPr>
        <w:rPr>
          <w:rFonts w:eastAsia="Arial"/>
          <w:color w:val="000000" w:themeColor="text1"/>
          <w:sz w:val="20"/>
          <w:szCs w:val="20"/>
        </w:rPr>
      </w:pPr>
      <w:r w:rsidRPr="00EC3B28">
        <w:rPr>
          <w:rFonts w:eastAsia="Arial"/>
          <w:color w:val="000000" w:themeColor="text1"/>
          <w:sz w:val="20"/>
          <w:szCs w:val="20"/>
        </w:rPr>
        <w:t>Biological, biochemical or physico-chemical methods shall be used as screening methods. Q</w:t>
      </w:r>
      <w:r w:rsidRPr="00EC3B28">
        <w:rPr>
          <w:rFonts w:eastAsia="Arial"/>
          <w:bCs/>
          <w:color w:val="000000" w:themeColor="text1"/>
          <w:sz w:val="20"/>
          <w:szCs w:val="20"/>
        </w:rPr>
        <w:t>ualitative, semi-quantitative or quantitative methods should be used as suitable screening methods:</w:t>
      </w:r>
    </w:p>
    <w:p w14:paraId="45CF44E0" w14:textId="78915517" w:rsidR="00A73D5E" w:rsidRPr="00EC3B28" w:rsidRDefault="00A73D5E" w:rsidP="00A73D5E">
      <w:pPr>
        <w:pStyle w:val="Heading3"/>
        <w:rPr>
          <w:rFonts w:ascii="Times New Roman" w:hAnsi="Times New Roman" w:cs="Times New Roman"/>
          <w:color w:val="000000" w:themeColor="text1"/>
          <w:sz w:val="20"/>
          <w:szCs w:val="20"/>
        </w:rPr>
      </w:pPr>
      <w:bookmarkStart w:id="7" w:name="_Toc5193382"/>
      <w:r w:rsidRPr="00EC3B28">
        <w:rPr>
          <w:rFonts w:ascii="Times New Roman" w:hAnsi="Times New Roman" w:cs="Times New Roman"/>
          <w:color w:val="000000" w:themeColor="text1"/>
          <w:sz w:val="20"/>
          <w:szCs w:val="20"/>
        </w:rPr>
        <w:t>1.1.</w:t>
      </w:r>
      <w:r w:rsidR="00670DCB">
        <w:rPr>
          <w:rFonts w:ascii="Times New Roman" w:hAnsi="Times New Roman" w:cs="Times New Roman"/>
          <w:color w:val="000000" w:themeColor="text1"/>
          <w:sz w:val="20"/>
          <w:szCs w:val="20"/>
        </w:rPr>
        <w:t>2</w:t>
      </w:r>
      <w:r w:rsidRPr="00EC3B28">
        <w:rPr>
          <w:rFonts w:ascii="Times New Roman" w:hAnsi="Times New Roman" w:cs="Times New Roman"/>
          <w:color w:val="000000" w:themeColor="text1"/>
          <w:sz w:val="20"/>
          <w:szCs w:val="20"/>
        </w:rPr>
        <w:t xml:space="preserve"> Requirements of screening methods</w:t>
      </w:r>
      <w:bookmarkEnd w:id="7"/>
    </w:p>
    <w:p w14:paraId="3B9213AD" w14:textId="77777777" w:rsidR="00A73D5E" w:rsidRPr="00EC3B28" w:rsidRDefault="00A73D5E" w:rsidP="00A73D5E">
      <w:pPr>
        <w:rPr>
          <w:sz w:val="20"/>
          <w:szCs w:val="20"/>
        </w:rPr>
      </w:pPr>
      <w:r w:rsidRPr="00EC3B28">
        <w:rPr>
          <w:sz w:val="20"/>
          <w:szCs w:val="20"/>
        </w:rPr>
        <w:t xml:space="preserve">For prohibited or unauthorised substances, the CCβ screening shall be as low as analytically achievable, taking into account the most recent scientific developments and shall in any case be lower or equal to the RPAs for substances for which RPAs are established under </w:t>
      </w:r>
      <w:r w:rsidRPr="00624868">
        <w:rPr>
          <w:sz w:val="20"/>
          <w:szCs w:val="20"/>
          <w:highlight w:val="yellow"/>
        </w:rPr>
        <w:t>Regulation 2019/XXXX</w:t>
      </w:r>
      <w:r w:rsidRPr="00EC3B28">
        <w:rPr>
          <w:sz w:val="20"/>
          <w:szCs w:val="20"/>
        </w:rPr>
        <w:t>.</w:t>
      </w:r>
    </w:p>
    <w:p w14:paraId="6E09A691" w14:textId="77777777" w:rsidR="00A73D5E" w:rsidRPr="00EC3B28" w:rsidRDefault="00A73D5E" w:rsidP="00A73D5E">
      <w:pPr>
        <w:rPr>
          <w:sz w:val="20"/>
          <w:szCs w:val="20"/>
        </w:rPr>
      </w:pPr>
      <w:r w:rsidRPr="00EC3B28">
        <w:rPr>
          <w:sz w:val="20"/>
          <w:szCs w:val="20"/>
        </w:rPr>
        <w:t>For authorised pharmacologically active substances the CCβ screening shall be less than or equal to the MRL or ML.</w:t>
      </w:r>
    </w:p>
    <w:p w14:paraId="0347F6E6" w14:textId="0F92A9E2" w:rsidR="00A73D5E" w:rsidRPr="00EC3B28" w:rsidRDefault="00A73D5E" w:rsidP="00A73D5E">
      <w:pPr>
        <w:rPr>
          <w:rFonts w:eastAsia="Arial"/>
          <w:b/>
          <w:bCs/>
          <w:color w:val="000000" w:themeColor="text1"/>
          <w:sz w:val="20"/>
          <w:szCs w:val="20"/>
        </w:rPr>
      </w:pPr>
      <w:r w:rsidRPr="00EC3B28">
        <w:rPr>
          <w:rFonts w:eastAsia="Arial"/>
          <w:sz w:val="20"/>
          <w:szCs w:val="20"/>
        </w:rPr>
        <w:t xml:space="preserve">Only those analytical techniques, for which it can be demonstrated in a documented traceable manner that they are validated </w:t>
      </w:r>
      <w:r w:rsidRPr="00EC3B28">
        <w:rPr>
          <w:rFonts w:eastAsia="Arial"/>
          <w:color w:val="000000" w:themeColor="text1"/>
          <w:sz w:val="20"/>
          <w:szCs w:val="20"/>
        </w:rPr>
        <w:t>and have a false compliant rate lower than or equal to 5% (</w:t>
      </w:r>
      <w:r w:rsidR="00C94D15">
        <w:rPr>
          <w:rFonts w:eastAsia="Arial"/>
          <w:color w:val="000000" w:themeColor="text1"/>
          <w:sz w:val="20"/>
          <w:szCs w:val="20"/>
        </w:rPr>
        <w:t>β</w:t>
      </w:r>
      <w:r w:rsidRPr="00EC3B28">
        <w:rPr>
          <w:rFonts w:eastAsia="Arial"/>
          <w:color w:val="000000" w:themeColor="text1"/>
          <w:sz w:val="20"/>
          <w:szCs w:val="20"/>
        </w:rPr>
        <w:t>-error) shall be used for screening purposes. In the case of a suspected non-compliant result, this result shall be confirmed by a confirmatory method.</w:t>
      </w:r>
      <w:r w:rsidRPr="00EC3B28">
        <w:rPr>
          <w:rFonts w:eastAsia="Arial"/>
          <w:b/>
          <w:bCs/>
          <w:color w:val="000000" w:themeColor="text1"/>
          <w:sz w:val="20"/>
          <w:szCs w:val="20"/>
        </w:rPr>
        <w:t xml:space="preserve"> </w:t>
      </w:r>
    </w:p>
    <w:p w14:paraId="480C8A16" w14:textId="484FAE42" w:rsidR="008B4E38" w:rsidRDefault="00A73D5E" w:rsidP="00A73D5E">
      <w:pPr>
        <w:rPr>
          <w:rFonts w:eastAsia="Arial"/>
          <w:color w:val="000000" w:themeColor="text1"/>
          <w:sz w:val="20"/>
          <w:szCs w:val="20"/>
        </w:rPr>
      </w:pPr>
      <w:r w:rsidRPr="00EC3B28">
        <w:rPr>
          <w:rFonts w:eastAsia="Arial"/>
          <w:bCs/>
          <w:color w:val="000000" w:themeColor="text1"/>
          <w:sz w:val="20"/>
          <w:szCs w:val="20"/>
        </w:rPr>
        <w:t>Quantitative screening methods</w:t>
      </w:r>
      <w:r w:rsidR="00312E9D">
        <w:rPr>
          <w:rFonts w:eastAsia="Arial"/>
          <w:color w:val="000000" w:themeColor="text1"/>
          <w:sz w:val="20"/>
          <w:szCs w:val="20"/>
        </w:rPr>
        <w:t>, used for both screening and confirmation</w:t>
      </w:r>
      <w:r w:rsidR="001741AF">
        <w:rPr>
          <w:rFonts w:eastAsia="Arial"/>
          <w:color w:val="000000" w:themeColor="text1"/>
          <w:sz w:val="20"/>
          <w:szCs w:val="20"/>
        </w:rPr>
        <w:t xml:space="preserve"> </w:t>
      </w:r>
      <w:r w:rsidRPr="00EC3B28">
        <w:rPr>
          <w:rFonts w:eastAsia="Arial"/>
          <w:color w:val="000000" w:themeColor="text1"/>
          <w:sz w:val="20"/>
          <w:szCs w:val="20"/>
        </w:rPr>
        <w:t xml:space="preserve">shall meet the same requirements for accuracy, dynamic range, and precision as confirmatory methods. </w:t>
      </w:r>
      <w:r w:rsidR="008B4E38">
        <w:rPr>
          <w:rFonts w:eastAsia="Arial"/>
          <w:color w:val="000000" w:themeColor="text1"/>
          <w:sz w:val="20"/>
          <w:szCs w:val="20"/>
        </w:rPr>
        <w:t>For quantitative screening methods exclusively used for screening, this is not required.</w:t>
      </w:r>
    </w:p>
    <w:p w14:paraId="33DD02F4" w14:textId="77777777" w:rsidR="00762DD7" w:rsidRDefault="00762DD7" w:rsidP="00A73D5E">
      <w:pPr>
        <w:rPr>
          <w:rFonts w:eastAsia="Arial"/>
          <w:color w:val="000000" w:themeColor="text1"/>
          <w:sz w:val="20"/>
          <w:szCs w:val="20"/>
        </w:rPr>
      </w:pPr>
    </w:p>
    <w:p w14:paraId="3AD03CA6" w14:textId="77777777" w:rsidR="00A73D5E" w:rsidRPr="00EC3B28" w:rsidRDefault="00A73D5E" w:rsidP="00A73D5E">
      <w:pPr>
        <w:pStyle w:val="Heading2"/>
        <w:rPr>
          <w:rFonts w:ascii="Times New Roman" w:hAnsi="Times New Roman" w:cs="Times New Roman"/>
          <w:color w:val="000000" w:themeColor="text1"/>
          <w:sz w:val="20"/>
          <w:szCs w:val="20"/>
        </w:rPr>
      </w:pPr>
      <w:bookmarkStart w:id="8" w:name="_Toc5193383"/>
      <w:r w:rsidRPr="00EC3B28">
        <w:rPr>
          <w:rFonts w:ascii="Times New Roman" w:hAnsi="Times New Roman" w:cs="Times New Roman"/>
          <w:color w:val="000000" w:themeColor="text1"/>
          <w:sz w:val="20"/>
          <w:szCs w:val="20"/>
        </w:rPr>
        <w:t>1.</w:t>
      </w:r>
      <w:bookmarkStart w:id="9" w:name="_Toc535221027"/>
      <w:r w:rsidRPr="00EC3B28">
        <w:rPr>
          <w:rFonts w:ascii="Times New Roman" w:hAnsi="Times New Roman" w:cs="Times New Roman"/>
          <w:color w:val="000000" w:themeColor="text1"/>
          <w:sz w:val="20"/>
          <w:szCs w:val="20"/>
        </w:rPr>
        <w:t>2</w:t>
      </w:r>
      <w:bookmarkStart w:id="10" w:name="_Toc535221028"/>
      <w:bookmarkEnd w:id="9"/>
      <w:r w:rsidRPr="00EC3B28">
        <w:rPr>
          <w:rFonts w:ascii="Times New Roman" w:hAnsi="Times New Roman" w:cs="Times New Roman"/>
          <w:color w:val="000000" w:themeColor="text1"/>
          <w:sz w:val="20"/>
          <w:szCs w:val="20"/>
        </w:rPr>
        <w:t xml:space="preserve"> Requirements of confirmatory methods</w:t>
      </w:r>
      <w:bookmarkEnd w:id="8"/>
      <w:bookmarkEnd w:id="10"/>
      <w:r w:rsidRPr="00EC3B28">
        <w:rPr>
          <w:rFonts w:ascii="Times New Roman" w:hAnsi="Times New Roman" w:cs="Times New Roman"/>
          <w:color w:val="000000" w:themeColor="text1"/>
          <w:sz w:val="20"/>
          <w:szCs w:val="20"/>
        </w:rPr>
        <w:t xml:space="preserve"> </w:t>
      </w:r>
    </w:p>
    <w:p w14:paraId="61B3804C" w14:textId="77777777" w:rsidR="00A73D5E" w:rsidRPr="00EC3B28" w:rsidRDefault="00A73D5E" w:rsidP="00A73D5E">
      <w:pPr>
        <w:pStyle w:val="Heading3"/>
        <w:rPr>
          <w:rFonts w:ascii="Times New Roman" w:hAnsi="Times New Roman" w:cs="Times New Roman"/>
          <w:color w:val="000000" w:themeColor="text1"/>
          <w:sz w:val="20"/>
          <w:szCs w:val="20"/>
        </w:rPr>
      </w:pPr>
      <w:bookmarkStart w:id="11" w:name="_Toc5193384"/>
      <w:r w:rsidRPr="00EC3B28">
        <w:rPr>
          <w:rFonts w:ascii="Times New Roman" w:hAnsi="Times New Roman" w:cs="Times New Roman"/>
          <w:color w:val="000000" w:themeColor="text1"/>
          <w:sz w:val="20"/>
          <w:szCs w:val="20"/>
        </w:rPr>
        <w:t>1.2.1 General requirements of confirmatory methods</w:t>
      </w:r>
      <w:bookmarkEnd w:id="11"/>
    </w:p>
    <w:p w14:paraId="3E4DD533" w14:textId="77777777" w:rsidR="00A73D5E" w:rsidRPr="00EC3B28" w:rsidRDefault="00A73D5E" w:rsidP="00A73D5E">
      <w:pPr>
        <w:rPr>
          <w:rFonts w:eastAsiaTheme="minorEastAsia"/>
          <w:sz w:val="20"/>
          <w:szCs w:val="20"/>
        </w:rPr>
      </w:pPr>
      <w:r w:rsidRPr="00EC3B28">
        <w:rPr>
          <w:rFonts w:eastAsiaTheme="minorEastAsia"/>
          <w:sz w:val="20"/>
          <w:szCs w:val="20"/>
        </w:rPr>
        <w:t xml:space="preserve">For prohibited or unauthorised substances, the CCα shall be </w:t>
      </w:r>
      <w:r w:rsidRPr="00EC3B28">
        <w:rPr>
          <w:sz w:val="20"/>
          <w:szCs w:val="20"/>
        </w:rPr>
        <w:t xml:space="preserve">as low as analytically achievable, taking into account the most recent scientific developments. For prohibited or unauthorised substances, for which a reference point for action is established under </w:t>
      </w:r>
      <w:r w:rsidRPr="00624868">
        <w:rPr>
          <w:sz w:val="20"/>
          <w:szCs w:val="20"/>
          <w:highlight w:val="yellow"/>
        </w:rPr>
        <w:t>Regulation (EU) 2019/XXX</w:t>
      </w:r>
      <w:r w:rsidRPr="00EC3B28">
        <w:rPr>
          <w:sz w:val="20"/>
          <w:szCs w:val="20"/>
        </w:rPr>
        <w:t xml:space="preserve"> </w:t>
      </w:r>
      <w:r w:rsidRPr="00EC3B28">
        <w:rPr>
          <w:rFonts w:eastAsiaTheme="minorEastAsia"/>
          <w:sz w:val="20"/>
          <w:szCs w:val="20"/>
        </w:rPr>
        <w:t>the CCα shall be lower than or equal to the reference point for action.</w:t>
      </w:r>
    </w:p>
    <w:p w14:paraId="4AF8ED74" w14:textId="3705184A" w:rsidR="00A73D5E" w:rsidRPr="00EC3B28" w:rsidRDefault="00A73D5E" w:rsidP="00A73D5E">
      <w:pPr>
        <w:rPr>
          <w:rFonts w:eastAsiaTheme="minorEastAsia"/>
          <w:sz w:val="20"/>
          <w:szCs w:val="20"/>
        </w:rPr>
      </w:pPr>
      <w:r w:rsidRPr="00EC3B28">
        <w:rPr>
          <w:rFonts w:eastAsiaTheme="minorEastAsia"/>
          <w:sz w:val="20"/>
          <w:szCs w:val="20"/>
        </w:rPr>
        <w:t xml:space="preserve">For authorised pharmacologically active </w:t>
      </w:r>
      <w:r w:rsidR="00B265E2" w:rsidRPr="00EC3B28">
        <w:rPr>
          <w:rFonts w:eastAsiaTheme="minorEastAsia"/>
          <w:sz w:val="20"/>
          <w:szCs w:val="20"/>
        </w:rPr>
        <w:t>substances,</w:t>
      </w:r>
      <w:r w:rsidRPr="00EC3B28">
        <w:rPr>
          <w:rFonts w:eastAsiaTheme="minorEastAsia"/>
          <w:sz w:val="20"/>
          <w:szCs w:val="20"/>
        </w:rPr>
        <w:t xml:space="preserve"> the CCα shall be higher than but as close as possible to the MRL or ML.</w:t>
      </w:r>
    </w:p>
    <w:p w14:paraId="4ABA5282" w14:textId="77777777" w:rsidR="00A73D5E" w:rsidRPr="00EC3B28" w:rsidRDefault="00A73D5E" w:rsidP="00A73D5E">
      <w:pPr>
        <w:rPr>
          <w:rFonts w:eastAsia="Arial"/>
          <w:b/>
          <w:bCs/>
          <w:color w:val="000000" w:themeColor="text1"/>
          <w:sz w:val="20"/>
          <w:szCs w:val="20"/>
        </w:rPr>
      </w:pPr>
      <w:r w:rsidRPr="00EC3B28">
        <w:rPr>
          <w:rFonts w:eastAsia="Arial"/>
          <w:sz w:val="20"/>
          <w:szCs w:val="20"/>
        </w:rPr>
        <w:t xml:space="preserve">For confirmation purposes only analytical methods shall be used for which it can be demonstrated in a documented traceable manner that they are validated </w:t>
      </w:r>
      <w:r w:rsidRPr="00EC3B28">
        <w:rPr>
          <w:rFonts w:eastAsia="Arial"/>
          <w:color w:val="000000" w:themeColor="text1"/>
          <w:sz w:val="20"/>
          <w:szCs w:val="20"/>
        </w:rPr>
        <w:t xml:space="preserve">and have a false non-compliant rate  (α-error) which is less or equal to 1% for prohibited or unauthorised substances or which is less or equal to 5% for authorised substances. </w:t>
      </w:r>
    </w:p>
    <w:p w14:paraId="68FC171F" w14:textId="166A884F" w:rsidR="00A73D5E" w:rsidRPr="00EC3B28" w:rsidRDefault="00A73D5E" w:rsidP="00A73D5E">
      <w:pPr>
        <w:rPr>
          <w:rFonts w:eastAsiaTheme="minorEastAsia"/>
          <w:sz w:val="20"/>
          <w:szCs w:val="20"/>
        </w:rPr>
      </w:pPr>
      <w:r w:rsidRPr="00EC3B28">
        <w:rPr>
          <w:rFonts w:eastAsiaTheme="minorEastAsia"/>
          <w:sz w:val="20"/>
          <w:szCs w:val="20"/>
        </w:rPr>
        <w:lastRenderedPageBreak/>
        <w:t xml:space="preserve">Confirmatory methods shall provide information on the structural chemical </w:t>
      </w:r>
      <w:r w:rsidR="006E116B">
        <w:rPr>
          <w:rFonts w:eastAsiaTheme="minorEastAsia"/>
          <w:sz w:val="20"/>
          <w:szCs w:val="20"/>
        </w:rPr>
        <w:t>composition</w:t>
      </w:r>
      <w:r w:rsidR="006E116B" w:rsidRPr="00EC3B28">
        <w:rPr>
          <w:rFonts w:eastAsiaTheme="minorEastAsia"/>
          <w:sz w:val="20"/>
          <w:szCs w:val="20"/>
        </w:rPr>
        <w:t xml:space="preserve"> </w:t>
      </w:r>
      <w:r w:rsidRPr="00EC3B28">
        <w:rPr>
          <w:rFonts w:eastAsiaTheme="minorEastAsia"/>
          <w:sz w:val="20"/>
          <w:szCs w:val="20"/>
        </w:rPr>
        <w:t xml:space="preserve">of the analyte. Consequently, methods based only on chromatographic analysis without the use of </w:t>
      </w:r>
      <w:r w:rsidR="006E116B">
        <w:rPr>
          <w:rFonts w:eastAsiaTheme="minorEastAsia"/>
          <w:sz w:val="20"/>
          <w:szCs w:val="20"/>
        </w:rPr>
        <w:t xml:space="preserve">mass </w:t>
      </w:r>
      <w:r w:rsidRPr="00EC3B28">
        <w:rPr>
          <w:rFonts w:eastAsiaTheme="minorEastAsia"/>
          <w:sz w:val="20"/>
          <w:szCs w:val="20"/>
        </w:rPr>
        <w:t xml:space="preserve">spectrometric detection are not suitable on their own for use as confirmatory methods for prohibited or unauthorised pharmacologically active substances. </w:t>
      </w:r>
      <w:r w:rsidRPr="00F12AED">
        <w:rPr>
          <w:rFonts w:eastAsiaTheme="minorEastAsia"/>
          <w:sz w:val="20"/>
          <w:szCs w:val="20"/>
        </w:rPr>
        <w:t xml:space="preserve">In the case of mass spectrometry not being suitable for registered veterinary substances, </w:t>
      </w:r>
      <w:r w:rsidR="003E45D8" w:rsidRPr="00F12AED">
        <w:rPr>
          <w:rFonts w:eastAsiaTheme="minorEastAsia"/>
          <w:sz w:val="20"/>
          <w:szCs w:val="20"/>
        </w:rPr>
        <w:t xml:space="preserve">other methods like e.g. HPLC-DAD and –FLD </w:t>
      </w:r>
      <w:r w:rsidRPr="00B4648C">
        <w:rPr>
          <w:rFonts w:eastAsiaTheme="minorEastAsia"/>
          <w:sz w:val="20"/>
          <w:szCs w:val="20"/>
        </w:rPr>
        <w:t>can be used</w:t>
      </w:r>
      <w:r w:rsidR="00C167E8" w:rsidRPr="00B4648C">
        <w:rPr>
          <w:rFonts w:eastAsiaTheme="minorEastAsia"/>
          <w:sz w:val="20"/>
          <w:szCs w:val="20"/>
        </w:rPr>
        <w:t xml:space="preserve"> or a combination of </w:t>
      </w:r>
      <w:r w:rsidR="00C167E8" w:rsidRPr="00F12AED">
        <w:rPr>
          <w:rFonts w:eastAsiaTheme="minorEastAsia"/>
          <w:sz w:val="20"/>
          <w:szCs w:val="20"/>
        </w:rPr>
        <w:t>them</w:t>
      </w:r>
      <w:r w:rsidRPr="00F12AED">
        <w:rPr>
          <w:rFonts w:eastAsiaTheme="minorEastAsia"/>
          <w:sz w:val="20"/>
          <w:szCs w:val="20"/>
        </w:rPr>
        <w:t>.</w:t>
      </w:r>
    </w:p>
    <w:p w14:paraId="2A0FEE8F" w14:textId="076CCC5A" w:rsidR="00A73D5E" w:rsidRPr="00EC3B28" w:rsidRDefault="00A73D5E" w:rsidP="00A73D5E">
      <w:pPr>
        <w:rPr>
          <w:rFonts w:eastAsiaTheme="minorEastAsia"/>
          <w:sz w:val="20"/>
          <w:szCs w:val="20"/>
        </w:rPr>
      </w:pPr>
      <w:r w:rsidRPr="00EC3B28">
        <w:rPr>
          <w:rFonts w:eastAsiaTheme="minorEastAsia"/>
          <w:sz w:val="20"/>
          <w:szCs w:val="20"/>
        </w:rPr>
        <w:t>When required according to the method, a suitable internal standard shall be added to the test portion at the beginning of the extraction procedure. Depending on availability, either stable isotope-labelled forms of the analyte, which are particularly suited for mass-spectrometric detection, or analogue compounds that are structurally closely related to the analyte</w:t>
      </w:r>
      <w:r w:rsidR="00B265E2">
        <w:rPr>
          <w:rFonts w:eastAsiaTheme="minorEastAsia"/>
          <w:sz w:val="20"/>
          <w:szCs w:val="20"/>
        </w:rPr>
        <w:t>,</w:t>
      </w:r>
      <w:r w:rsidRPr="00EC3B28">
        <w:rPr>
          <w:rFonts w:eastAsiaTheme="minorEastAsia"/>
          <w:sz w:val="20"/>
          <w:szCs w:val="20"/>
        </w:rPr>
        <w:t xml:space="preserve"> shall be used. When no suitable isotope internal standard can be used, the identification of the analyte shall preferably be confirmed by co-chromatography. In this case only one peak shall be obtained, the enhanced peak height (or area) being equivalent to the amount of added analyte. If this is not practicable, matrix-matched or matrix-fortified standards should be used.</w:t>
      </w:r>
    </w:p>
    <w:p w14:paraId="403FA5D0" w14:textId="77777777" w:rsidR="00A73D5E" w:rsidRPr="00EC3B28" w:rsidRDefault="00A73D5E" w:rsidP="00A73D5E">
      <w:pPr>
        <w:pStyle w:val="Heading3"/>
        <w:rPr>
          <w:rFonts w:ascii="Times New Roman" w:eastAsiaTheme="minorEastAsia" w:hAnsi="Times New Roman" w:cs="Times New Roman"/>
          <w:color w:val="000000" w:themeColor="text1"/>
          <w:sz w:val="20"/>
          <w:szCs w:val="20"/>
        </w:rPr>
      </w:pPr>
      <w:r w:rsidRPr="00EC3B28">
        <w:rPr>
          <w:rFonts w:ascii="Times New Roman" w:eastAsiaTheme="minorEastAsia" w:hAnsi="Times New Roman" w:cs="Times New Roman"/>
          <w:sz w:val="20"/>
          <w:szCs w:val="20"/>
        </w:rPr>
        <w:t xml:space="preserve"> </w:t>
      </w:r>
      <w:bookmarkStart w:id="12" w:name="_Toc5193385"/>
      <w:r w:rsidRPr="00EC3B28">
        <w:rPr>
          <w:rFonts w:ascii="Times New Roman" w:hAnsi="Times New Roman" w:cs="Times New Roman"/>
          <w:color w:val="000000" w:themeColor="text1"/>
          <w:sz w:val="20"/>
          <w:szCs w:val="20"/>
        </w:rPr>
        <w:t>1.</w:t>
      </w:r>
      <w:bookmarkStart w:id="13" w:name="_Toc535221029"/>
      <w:r w:rsidRPr="00EC3B28">
        <w:rPr>
          <w:rFonts w:ascii="Times New Roman" w:hAnsi="Times New Roman" w:cs="Times New Roman"/>
          <w:color w:val="000000" w:themeColor="text1"/>
          <w:sz w:val="20"/>
          <w:szCs w:val="20"/>
        </w:rPr>
        <w:t>2.2 General performance criteria for confirmatory methods</w:t>
      </w:r>
      <w:bookmarkEnd w:id="12"/>
      <w:bookmarkEnd w:id="13"/>
    </w:p>
    <w:p w14:paraId="64C8E970" w14:textId="77777777" w:rsidR="00A73D5E" w:rsidRPr="00EC3B28" w:rsidRDefault="00A73D5E" w:rsidP="00A73D5E">
      <w:pPr>
        <w:pStyle w:val="Heading4"/>
        <w:rPr>
          <w:rFonts w:ascii="Times New Roman" w:hAnsi="Times New Roman" w:cs="Times New Roman"/>
          <w:b/>
          <w:color w:val="000000" w:themeColor="text1"/>
          <w:sz w:val="20"/>
          <w:szCs w:val="20"/>
        </w:rPr>
      </w:pPr>
      <w:bookmarkStart w:id="14" w:name="_Toc5193386"/>
      <w:r w:rsidRPr="00EC3B28">
        <w:rPr>
          <w:rFonts w:ascii="Times New Roman" w:hAnsi="Times New Roman" w:cs="Times New Roman"/>
          <w:b/>
          <w:color w:val="000000" w:themeColor="text1"/>
          <w:sz w:val="20"/>
          <w:szCs w:val="20"/>
        </w:rPr>
        <w:t>1.</w:t>
      </w:r>
      <w:bookmarkStart w:id="15" w:name="_Toc535221030"/>
      <w:r w:rsidRPr="00EC3B28">
        <w:rPr>
          <w:rFonts w:ascii="Times New Roman" w:hAnsi="Times New Roman" w:cs="Times New Roman"/>
          <w:b/>
          <w:color w:val="000000" w:themeColor="text1"/>
          <w:sz w:val="20"/>
          <w:szCs w:val="20"/>
        </w:rPr>
        <w:t>2.2.1 Trueness</w:t>
      </w:r>
      <w:bookmarkEnd w:id="14"/>
      <w:r w:rsidRPr="00EC3B28">
        <w:rPr>
          <w:rFonts w:ascii="Times New Roman" w:hAnsi="Times New Roman" w:cs="Times New Roman"/>
          <w:b/>
          <w:color w:val="000000" w:themeColor="text1"/>
          <w:sz w:val="20"/>
          <w:szCs w:val="20"/>
        </w:rPr>
        <w:t xml:space="preserve"> </w:t>
      </w:r>
      <w:bookmarkEnd w:id="15"/>
    </w:p>
    <w:p w14:paraId="0AB05577" w14:textId="77777777" w:rsidR="00A73D5E" w:rsidRPr="00EC3B28" w:rsidRDefault="00A73D5E" w:rsidP="00A73D5E">
      <w:pPr>
        <w:rPr>
          <w:rFonts w:eastAsiaTheme="minorEastAsia"/>
          <w:sz w:val="20"/>
          <w:szCs w:val="20"/>
        </w:rPr>
      </w:pPr>
      <w:r w:rsidRPr="00EC3B28">
        <w:rPr>
          <w:rFonts w:eastAsiaTheme="minorEastAsia"/>
          <w:sz w:val="20"/>
          <w:szCs w:val="20"/>
        </w:rPr>
        <w:t>For repeated analyses of a certified reference material, the deviation of the experimentally determined absolute recovery corrected mean mass fraction from the certified value shall comply with the minimum trueness ranges listed in Table 1:</w:t>
      </w:r>
    </w:p>
    <w:p w14:paraId="29CB7FA9" w14:textId="77777777" w:rsidR="00A73D5E" w:rsidRPr="00EC3B28" w:rsidRDefault="00A73D5E" w:rsidP="00A73D5E">
      <w:pPr>
        <w:rPr>
          <w:rFonts w:eastAsiaTheme="minorEastAsia"/>
          <w:sz w:val="20"/>
          <w:szCs w:val="20"/>
        </w:rPr>
      </w:pPr>
      <w:r w:rsidRPr="00EC3B28">
        <w:rPr>
          <w:rFonts w:eastAsiaTheme="minorEastAsia"/>
          <w:b/>
          <w:sz w:val="20"/>
          <w:szCs w:val="20"/>
        </w:rPr>
        <w:t>Table 1.</w:t>
      </w:r>
      <w:r w:rsidRPr="00EC3B28">
        <w:rPr>
          <w:rFonts w:eastAsiaTheme="minorEastAsia"/>
          <w:sz w:val="20"/>
          <w:szCs w:val="20"/>
        </w:rPr>
        <w:t xml:space="preserve"> Minimum trueness of quantitative methods</w:t>
      </w:r>
    </w:p>
    <w:tbl>
      <w:tblPr>
        <w:tblStyle w:val="Grilledetableauclaire1"/>
        <w:tblW w:w="0" w:type="auto"/>
        <w:tblLayout w:type="fixed"/>
        <w:tblLook w:val="06A0" w:firstRow="1" w:lastRow="0" w:firstColumn="1" w:lastColumn="0" w:noHBand="1" w:noVBand="1"/>
      </w:tblPr>
      <w:tblGrid>
        <w:gridCol w:w="3510"/>
        <w:gridCol w:w="2694"/>
      </w:tblGrid>
      <w:tr w:rsidR="001545FE" w:rsidRPr="00EC3B28" w14:paraId="1FD73980" w14:textId="77777777" w:rsidTr="00517E9E">
        <w:trPr>
          <w:trHeight w:val="113"/>
        </w:trPr>
        <w:tc>
          <w:tcPr>
            <w:tcW w:w="6204" w:type="dxa"/>
            <w:gridSpan w:val="2"/>
          </w:tcPr>
          <w:p w14:paraId="15A66141" w14:textId="77777777" w:rsidR="001545FE" w:rsidRPr="00EC3B28" w:rsidRDefault="001545FE" w:rsidP="001545FE">
            <w:pPr>
              <w:spacing w:line="276" w:lineRule="auto"/>
              <w:jc w:val="center"/>
              <w:rPr>
                <w:rFonts w:eastAsiaTheme="minorEastAsia"/>
                <w:b/>
                <w:sz w:val="20"/>
                <w:szCs w:val="20"/>
              </w:rPr>
            </w:pPr>
            <w:r w:rsidRPr="00EC3B28">
              <w:rPr>
                <w:rFonts w:eastAsiaTheme="minorEastAsia"/>
                <w:b/>
                <w:sz w:val="20"/>
                <w:szCs w:val="20"/>
              </w:rPr>
              <w:t>Table 1</w:t>
            </w:r>
            <w:r w:rsidR="00FC2A89" w:rsidRPr="00EC3B28">
              <w:rPr>
                <w:rFonts w:eastAsiaTheme="minorEastAsia"/>
                <w:b/>
                <w:sz w:val="20"/>
                <w:szCs w:val="20"/>
              </w:rPr>
              <w:t xml:space="preserve"> </w:t>
            </w:r>
          </w:p>
          <w:p w14:paraId="2A9B389A" w14:textId="48441EA9" w:rsidR="00FC2A89" w:rsidRPr="00EC3B28" w:rsidRDefault="00FC2A89" w:rsidP="001545FE">
            <w:pPr>
              <w:spacing w:line="276" w:lineRule="auto"/>
              <w:jc w:val="center"/>
              <w:rPr>
                <w:rFonts w:eastAsiaTheme="minorEastAsia"/>
                <w:b/>
                <w:sz w:val="20"/>
                <w:szCs w:val="20"/>
              </w:rPr>
            </w:pPr>
            <w:r w:rsidRPr="00EC3B28">
              <w:rPr>
                <w:rFonts w:eastAsiaTheme="minorEastAsia"/>
                <w:b/>
                <w:sz w:val="20"/>
                <w:szCs w:val="20"/>
              </w:rPr>
              <w:t>Minimum trueness of quantitative methods</w:t>
            </w:r>
          </w:p>
        </w:tc>
      </w:tr>
      <w:tr w:rsidR="00A73D5E" w:rsidRPr="00EC3B28" w14:paraId="74427FB1" w14:textId="77777777" w:rsidTr="00517E9E">
        <w:trPr>
          <w:trHeight w:val="113"/>
        </w:trPr>
        <w:tc>
          <w:tcPr>
            <w:tcW w:w="3510" w:type="dxa"/>
          </w:tcPr>
          <w:p w14:paraId="7EED5088" w14:textId="77777777" w:rsidR="00A73D5E" w:rsidRPr="00EC3B28" w:rsidRDefault="00A73D5E" w:rsidP="001545FE">
            <w:pPr>
              <w:spacing w:line="276" w:lineRule="auto"/>
              <w:jc w:val="center"/>
              <w:rPr>
                <w:rFonts w:eastAsiaTheme="minorEastAsia"/>
                <w:sz w:val="20"/>
                <w:szCs w:val="20"/>
              </w:rPr>
            </w:pPr>
            <w:r w:rsidRPr="00EC3B28">
              <w:rPr>
                <w:rFonts w:eastAsiaTheme="minorEastAsia"/>
                <w:sz w:val="20"/>
                <w:szCs w:val="20"/>
              </w:rPr>
              <w:t>Mass Fraction</w:t>
            </w:r>
          </w:p>
        </w:tc>
        <w:tc>
          <w:tcPr>
            <w:tcW w:w="2694" w:type="dxa"/>
          </w:tcPr>
          <w:p w14:paraId="71375EF3" w14:textId="77777777" w:rsidR="00A73D5E" w:rsidRPr="00EC3B28" w:rsidRDefault="00A73D5E" w:rsidP="001545FE">
            <w:pPr>
              <w:spacing w:line="276" w:lineRule="auto"/>
              <w:jc w:val="center"/>
              <w:rPr>
                <w:rFonts w:eastAsiaTheme="minorEastAsia"/>
                <w:sz w:val="20"/>
                <w:szCs w:val="20"/>
              </w:rPr>
            </w:pPr>
            <w:r w:rsidRPr="00EC3B28">
              <w:rPr>
                <w:rFonts w:eastAsiaTheme="minorEastAsia"/>
                <w:sz w:val="20"/>
                <w:szCs w:val="20"/>
              </w:rPr>
              <w:t>Range</w:t>
            </w:r>
          </w:p>
        </w:tc>
      </w:tr>
      <w:tr w:rsidR="00A73D5E" w:rsidRPr="00EC3B28" w14:paraId="013E4259" w14:textId="77777777" w:rsidTr="00517E9E">
        <w:trPr>
          <w:trHeight w:val="113"/>
        </w:trPr>
        <w:tc>
          <w:tcPr>
            <w:tcW w:w="3510" w:type="dxa"/>
          </w:tcPr>
          <w:p w14:paraId="3629AD66" w14:textId="77777777" w:rsidR="00A73D5E" w:rsidRPr="00EC3B28" w:rsidRDefault="00A73D5E" w:rsidP="001545FE">
            <w:pPr>
              <w:spacing w:line="276" w:lineRule="auto"/>
              <w:jc w:val="center"/>
              <w:rPr>
                <w:rFonts w:eastAsiaTheme="minorEastAsia"/>
                <w:sz w:val="20"/>
                <w:szCs w:val="20"/>
              </w:rPr>
            </w:pPr>
            <w:r w:rsidRPr="00EC3B28">
              <w:rPr>
                <w:rFonts w:eastAsiaTheme="minorEastAsia"/>
                <w:sz w:val="20"/>
                <w:szCs w:val="20"/>
              </w:rPr>
              <w:t>≤ 1 µg/kg</w:t>
            </w:r>
          </w:p>
        </w:tc>
        <w:tc>
          <w:tcPr>
            <w:tcW w:w="2694" w:type="dxa"/>
          </w:tcPr>
          <w:p w14:paraId="77EE04E2" w14:textId="77777777" w:rsidR="00A73D5E" w:rsidRPr="00EC3B28" w:rsidRDefault="00A73D5E" w:rsidP="00517E9E">
            <w:pPr>
              <w:spacing w:line="276" w:lineRule="auto"/>
              <w:jc w:val="center"/>
              <w:rPr>
                <w:rFonts w:eastAsiaTheme="minorEastAsia"/>
                <w:sz w:val="20"/>
                <w:szCs w:val="20"/>
              </w:rPr>
            </w:pPr>
            <w:r w:rsidRPr="00EC3B28">
              <w:rPr>
                <w:rFonts w:eastAsiaTheme="minorEastAsia"/>
                <w:sz w:val="20"/>
                <w:szCs w:val="20"/>
              </w:rPr>
              <w:t>-50% to + 20%</w:t>
            </w:r>
          </w:p>
        </w:tc>
      </w:tr>
      <w:tr w:rsidR="00A73D5E" w:rsidRPr="00EC3B28" w14:paraId="2909EB2E" w14:textId="77777777" w:rsidTr="00517E9E">
        <w:trPr>
          <w:trHeight w:val="113"/>
        </w:trPr>
        <w:tc>
          <w:tcPr>
            <w:tcW w:w="3510" w:type="dxa"/>
          </w:tcPr>
          <w:p w14:paraId="4C8407B4" w14:textId="77777777" w:rsidR="00A73D5E" w:rsidRPr="00EC3B28" w:rsidRDefault="00A73D5E" w:rsidP="001545FE">
            <w:pPr>
              <w:spacing w:line="276" w:lineRule="auto"/>
              <w:jc w:val="center"/>
              <w:rPr>
                <w:rFonts w:eastAsiaTheme="minorEastAsia"/>
                <w:sz w:val="20"/>
                <w:szCs w:val="20"/>
              </w:rPr>
            </w:pPr>
            <w:r w:rsidRPr="00EC3B28">
              <w:rPr>
                <w:rFonts w:eastAsiaTheme="minorEastAsia"/>
                <w:sz w:val="20"/>
                <w:szCs w:val="20"/>
              </w:rPr>
              <w:t>&gt; 1 µg/kg to 10 µg/kg</w:t>
            </w:r>
          </w:p>
        </w:tc>
        <w:tc>
          <w:tcPr>
            <w:tcW w:w="2694" w:type="dxa"/>
          </w:tcPr>
          <w:p w14:paraId="00286727" w14:textId="77777777" w:rsidR="00A73D5E" w:rsidRPr="00EC3B28" w:rsidRDefault="00A73D5E" w:rsidP="00517E9E">
            <w:pPr>
              <w:spacing w:line="276" w:lineRule="auto"/>
              <w:jc w:val="center"/>
              <w:rPr>
                <w:rFonts w:eastAsiaTheme="minorEastAsia"/>
                <w:sz w:val="20"/>
                <w:szCs w:val="20"/>
              </w:rPr>
            </w:pPr>
            <w:r w:rsidRPr="00EC3B28">
              <w:rPr>
                <w:rFonts w:eastAsiaTheme="minorEastAsia"/>
                <w:sz w:val="20"/>
                <w:szCs w:val="20"/>
              </w:rPr>
              <w:t>-30% to + 10%</w:t>
            </w:r>
          </w:p>
        </w:tc>
      </w:tr>
      <w:tr w:rsidR="00A73D5E" w:rsidRPr="00EC3B28" w14:paraId="7B9AECF7" w14:textId="77777777" w:rsidTr="00517E9E">
        <w:trPr>
          <w:trHeight w:val="113"/>
        </w:trPr>
        <w:tc>
          <w:tcPr>
            <w:tcW w:w="3510" w:type="dxa"/>
          </w:tcPr>
          <w:p w14:paraId="7C901D66" w14:textId="77777777" w:rsidR="00A73D5E" w:rsidRPr="00EC3B28" w:rsidRDefault="00A73D5E" w:rsidP="001545FE">
            <w:pPr>
              <w:spacing w:line="276" w:lineRule="auto"/>
              <w:jc w:val="center"/>
              <w:rPr>
                <w:rFonts w:eastAsiaTheme="minorEastAsia"/>
                <w:sz w:val="20"/>
                <w:szCs w:val="20"/>
              </w:rPr>
            </w:pPr>
            <w:r w:rsidRPr="00EC3B28">
              <w:rPr>
                <w:rFonts w:eastAsiaTheme="minorEastAsia"/>
                <w:sz w:val="20"/>
                <w:szCs w:val="20"/>
              </w:rPr>
              <w:t>≥ 10 µg/kg</w:t>
            </w:r>
          </w:p>
        </w:tc>
        <w:tc>
          <w:tcPr>
            <w:tcW w:w="2694" w:type="dxa"/>
          </w:tcPr>
          <w:p w14:paraId="3FC4CA8A" w14:textId="77777777" w:rsidR="00A73D5E" w:rsidRPr="00EC3B28" w:rsidRDefault="00A73D5E" w:rsidP="001545FE">
            <w:pPr>
              <w:spacing w:line="276" w:lineRule="auto"/>
              <w:jc w:val="center"/>
              <w:rPr>
                <w:rFonts w:eastAsiaTheme="minorEastAsia"/>
                <w:sz w:val="20"/>
                <w:szCs w:val="20"/>
              </w:rPr>
            </w:pPr>
            <w:r w:rsidRPr="00EC3B28">
              <w:rPr>
                <w:rFonts w:eastAsiaTheme="minorEastAsia"/>
                <w:sz w:val="20"/>
                <w:szCs w:val="20"/>
              </w:rPr>
              <w:t>-20% to + 10%</w:t>
            </w:r>
          </w:p>
        </w:tc>
      </w:tr>
    </w:tbl>
    <w:p w14:paraId="0181C1F6" w14:textId="77777777" w:rsidR="00A73D5E" w:rsidRPr="00EC3B28" w:rsidRDefault="00A73D5E" w:rsidP="00A73D5E">
      <w:pPr>
        <w:rPr>
          <w:rFonts w:eastAsia="Calibri"/>
          <w:sz w:val="20"/>
          <w:szCs w:val="20"/>
        </w:rPr>
      </w:pPr>
    </w:p>
    <w:p w14:paraId="69FAA227" w14:textId="77777777" w:rsidR="00A73D5E" w:rsidRPr="00EC3B28" w:rsidRDefault="00A73D5E" w:rsidP="00A73D5E">
      <w:pPr>
        <w:rPr>
          <w:rFonts w:eastAsiaTheme="minorEastAsia"/>
          <w:sz w:val="20"/>
          <w:szCs w:val="20"/>
        </w:rPr>
      </w:pPr>
      <w:r w:rsidRPr="00EC3B28">
        <w:rPr>
          <w:rFonts w:eastAsia="Calibri"/>
          <w:sz w:val="20"/>
          <w:szCs w:val="20"/>
        </w:rPr>
        <w:t xml:space="preserve">When no certified reference materials are available, it is acceptable that trueness of measurements is assessed through additions of known amounts of the analyte(s) to a blank matrix. </w:t>
      </w:r>
    </w:p>
    <w:p w14:paraId="4F2B9D51" w14:textId="77777777" w:rsidR="00A73D5E" w:rsidRPr="00EC3B28" w:rsidRDefault="00A73D5E" w:rsidP="00A73D5E">
      <w:pPr>
        <w:pStyle w:val="Heading4"/>
        <w:rPr>
          <w:rFonts w:ascii="Times New Roman" w:hAnsi="Times New Roman" w:cs="Times New Roman"/>
          <w:b/>
          <w:color w:val="000000" w:themeColor="text1"/>
          <w:sz w:val="20"/>
          <w:szCs w:val="20"/>
        </w:rPr>
      </w:pPr>
      <w:bookmarkStart w:id="16" w:name="_Toc5193387"/>
      <w:r w:rsidRPr="00EC3B28">
        <w:rPr>
          <w:rFonts w:ascii="Times New Roman" w:hAnsi="Times New Roman" w:cs="Times New Roman"/>
          <w:b/>
          <w:color w:val="000000" w:themeColor="text1"/>
          <w:sz w:val="20"/>
          <w:szCs w:val="20"/>
        </w:rPr>
        <w:t>1.</w:t>
      </w:r>
      <w:bookmarkStart w:id="17" w:name="_Toc535221031"/>
      <w:r w:rsidRPr="00EC3B28">
        <w:rPr>
          <w:rFonts w:ascii="Times New Roman" w:hAnsi="Times New Roman" w:cs="Times New Roman"/>
          <w:b/>
          <w:color w:val="000000" w:themeColor="text1"/>
          <w:sz w:val="20"/>
          <w:szCs w:val="20"/>
        </w:rPr>
        <w:t>2.2.2 Precision</w:t>
      </w:r>
      <w:bookmarkEnd w:id="16"/>
      <w:r w:rsidRPr="00EC3B28">
        <w:rPr>
          <w:rFonts w:ascii="Times New Roman" w:hAnsi="Times New Roman" w:cs="Times New Roman"/>
          <w:b/>
          <w:color w:val="000000" w:themeColor="text1"/>
          <w:sz w:val="20"/>
          <w:szCs w:val="20"/>
        </w:rPr>
        <w:t xml:space="preserve"> </w:t>
      </w:r>
      <w:bookmarkEnd w:id="17"/>
    </w:p>
    <w:p w14:paraId="573F07FD" w14:textId="71151045" w:rsidR="00A73D5E" w:rsidRPr="00EC3B28" w:rsidRDefault="00A73D5E" w:rsidP="00A73D5E">
      <w:pPr>
        <w:rPr>
          <w:rFonts w:eastAsiaTheme="minorEastAsia"/>
          <w:sz w:val="20"/>
          <w:szCs w:val="20"/>
        </w:rPr>
      </w:pPr>
      <w:r w:rsidRPr="00EC3B28">
        <w:rPr>
          <w:rFonts w:eastAsiaTheme="minorEastAsia"/>
          <w:sz w:val="20"/>
          <w:szCs w:val="20"/>
        </w:rPr>
        <w:t>The coefficient of variation (CV) for the repeated analysis of a reference or fortified material, under within-laboratory reproducibility conditions, shall not exceed the level calculated by the Horwitz Equation. The equation is:</w:t>
      </w:r>
    </w:p>
    <w:p w14:paraId="28224D67" w14:textId="41512CBD" w:rsidR="00A73D5E" w:rsidRPr="00EC3B28" w:rsidRDefault="00A73D5E" w:rsidP="00A73D5E">
      <w:pPr>
        <w:rPr>
          <w:rFonts w:eastAsiaTheme="minorEastAsia"/>
          <w:sz w:val="20"/>
          <w:szCs w:val="20"/>
          <w:lang w:val="en-US"/>
        </w:rPr>
      </w:pPr>
      <w:r w:rsidRPr="00EC3B28">
        <w:rPr>
          <w:rFonts w:eastAsiaTheme="minorEastAsia"/>
          <w:sz w:val="20"/>
          <w:szCs w:val="20"/>
          <w:lang w:val="en-US"/>
        </w:rPr>
        <w:t>CV = 2</w:t>
      </w:r>
      <w:r w:rsidR="005F53E1">
        <w:rPr>
          <w:rFonts w:eastAsiaTheme="minorEastAsia"/>
          <w:sz w:val="20"/>
          <w:szCs w:val="20"/>
          <w:lang w:val="en-US"/>
        </w:rPr>
        <w:t xml:space="preserve"> × </w:t>
      </w:r>
      <w:r w:rsidRPr="00EC3B28">
        <w:rPr>
          <w:rFonts w:eastAsiaTheme="minorEastAsia"/>
          <w:sz w:val="20"/>
          <w:szCs w:val="20"/>
          <w:lang w:val="en-US"/>
        </w:rPr>
        <w:t>(1 - 0,5 log C)</w:t>
      </w:r>
    </w:p>
    <w:p w14:paraId="47002FC0" w14:textId="5228F90A" w:rsidR="00A73D5E" w:rsidRPr="00EC3B28" w:rsidRDefault="00A73D5E" w:rsidP="00A73D5E">
      <w:pPr>
        <w:rPr>
          <w:rFonts w:eastAsiaTheme="minorEastAsia"/>
          <w:sz w:val="20"/>
          <w:szCs w:val="20"/>
        </w:rPr>
      </w:pPr>
      <w:r w:rsidRPr="00EC3B28">
        <w:rPr>
          <w:rFonts w:eastAsiaTheme="minorEastAsia"/>
          <w:sz w:val="20"/>
          <w:szCs w:val="20"/>
        </w:rPr>
        <w:t>where C is the mass fraction expressed as a power (exponent) of 10 (e.g. 1 mg/g = 10</w:t>
      </w:r>
      <w:r w:rsidRPr="00EC3B28">
        <w:rPr>
          <w:rFonts w:eastAsiaTheme="minorEastAsia"/>
          <w:sz w:val="20"/>
          <w:szCs w:val="20"/>
          <w:vertAlign w:val="superscript"/>
        </w:rPr>
        <w:t>-3</w:t>
      </w:r>
      <w:r w:rsidRPr="00EC3B28">
        <w:rPr>
          <w:rFonts w:eastAsiaTheme="minorEastAsia"/>
          <w:sz w:val="20"/>
          <w:szCs w:val="20"/>
        </w:rPr>
        <w:t>). For mass fractions below 120 µg/kg the application of the Horwitz equation yields unacceptable high values. Therefore, the allowed maximum variation coefficient shall not be greater than the values presented in Table 2.</w:t>
      </w:r>
    </w:p>
    <w:p w14:paraId="6D34AF97" w14:textId="7E720755" w:rsidR="00A73D5E" w:rsidRPr="00EC3B28" w:rsidRDefault="00A73D5E" w:rsidP="00A73D5E">
      <w:pPr>
        <w:rPr>
          <w:rFonts w:eastAsiaTheme="minorEastAsia"/>
          <w:sz w:val="20"/>
          <w:szCs w:val="20"/>
        </w:rPr>
      </w:pPr>
      <w:r w:rsidRPr="00EC3B28">
        <w:rPr>
          <w:rFonts w:eastAsiaTheme="minorEastAsia"/>
          <w:b/>
          <w:sz w:val="20"/>
          <w:szCs w:val="20"/>
        </w:rPr>
        <w:lastRenderedPageBreak/>
        <w:t>Table 2.</w:t>
      </w:r>
      <w:r w:rsidRPr="00EC3B28">
        <w:rPr>
          <w:rFonts w:eastAsiaTheme="minorEastAsia"/>
          <w:sz w:val="20"/>
          <w:szCs w:val="20"/>
        </w:rPr>
        <w:t xml:space="preserve"> Acceptable variation coefficient </w:t>
      </w:r>
    </w:p>
    <w:tbl>
      <w:tblPr>
        <w:tblStyle w:val="TableauGrille1Clair-Accentuation11"/>
        <w:tblW w:w="0" w:type="auto"/>
        <w:tblLayout w:type="fixed"/>
        <w:tblLook w:val="06A0" w:firstRow="1" w:lastRow="0" w:firstColumn="1" w:lastColumn="0" w:noHBand="1" w:noVBand="1"/>
      </w:tblPr>
      <w:tblGrid>
        <w:gridCol w:w="3652"/>
        <w:gridCol w:w="4253"/>
      </w:tblGrid>
      <w:tr w:rsidR="00B57EEB" w:rsidRPr="00EC3B28" w14:paraId="502EDB93" w14:textId="77777777" w:rsidTr="00517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2"/>
          </w:tcPr>
          <w:p w14:paraId="37015446" w14:textId="77777777" w:rsidR="00B57EEB" w:rsidRPr="00EC3B28" w:rsidRDefault="00B57EEB" w:rsidP="00B57EEB">
            <w:pPr>
              <w:spacing w:line="276" w:lineRule="auto"/>
              <w:jc w:val="center"/>
              <w:rPr>
                <w:rFonts w:eastAsiaTheme="minorEastAsia"/>
                <w:sz w:val="20"/>
                <w:szCs w:val="20"/>
              </w:rPr>
            </w:pPr>
            <w:r w:rsidRPr="00EC3B28">
              <w:rPr>
                <w:rFonts w:eastAsiaTheme="minorEastAsia"/>
                <w:sz w:val="20"/>
                <w:szCs w:val="20"/>
              </w:rPr>
              <w:t>Table 2</w:t>
            </w:r>
          </w:p>
          <w:p w14:paraId="1B34B5CB" w14:textId="3992D806" w:rsidR="003E026C" w:rsidRPr="00EC3B28" w:rsidRDefault="003E026C" w:rsidP="00B57EEB">
            <w:pPr>
              <w:spacing w:line="276" w:lineRule="auto"/>
              <w:jc w:val="center"/>
              <w:rPr>
                <w:rFonts w:eastAsiaTheme="minorEastAsia"/>
                <w:sz w:val="20"/>
                <w:szCs w:val="20"/>
              </w:rPr>
            </w:pPr>
            <w:r w:rsidRPr="00EC3B28">
              <w:rPr>
                <w:rFonts w:eastAsiaTheme="minorEastAsia"/>
                <w:sz w:val="20"/>
                <w:szCs w:val="20"/>
              </w:rPr>
              <w:t>Acceptable variation coefficient</w:t>
            </w:r>
          </w:p>
        </w:tc>
      </w:tr>
      <w:tr w:rsidR="00A73D5E" w:rsidRPr="00EC3B28" w14:paraId="6648E82E" w14:textId="77777777" w:rsidTr="00517E9E">
        <w:tc>
          <w:tcPr>
            <w:cnfStyle w:val="001000000000" w:firstRow="0" w:lastRow="0" w:firstColumn="1" w:lastColumn="0" w:oddVBand="0" w:evenVBand="0" w:oddHBand="0" w:evenHBand="0" w:firstRowFirstColumn="0" w:firstRowLastColumn="0" w:lastRowFirstColumn="0" w:lastRowLastColumn="0"/>
            <w:tcW w:w="3652" w:type="dxa"/>
          </w:tcPr>
          <w:p w14:paraId="194121B4" w14:textId="77777777" w:rsidR="00A73D5E" w:rsidRPr="00EC3B28" w:rsidRDefault="00A73D5E" w:rsidP="00517E9E">
            <w:pPr>
              <w:spacing w:line="276" w:lineRule="auto"/>
              <w:jc w:val="center"/>
              <w:rPr>
                <w:rFonts w:eastAsiaTheme="minorEastAsia"/>
                <w:b w:val="0"/>
                <w:sz w:val="20"/>
                <w:szCs w:val="20"/>
              </w:rPr>
            </w:pPr>
            <w:r w:rsidRPr="00EC3B28">
              <w:rPr>
                <w:rFonts w:eastAsiaTheme="minorEastAsia"/>
                <w:b w:val="0"/>
                <w:sz w:val="20"/>
                <w:szCs w:val="20"/>
              </w:rPr>
              <w:t>Mass fraction</w:t>
            </w:r>
          </w:p>
        </w:tc>
        <w:tc>
          <w:tcPr>
            <w:tcW w:w="4253" w:type="dxa"/>
          </w:tcPr>
          <w:p w14:paraId="72B6B4F4" w14:textId="0BA1598A" w:rsidR="00A73D5E" w:rsidRPr="00EC3B28" w:rsidRDefault="00A73D5E" w:rsidP="00517E9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sz w:val="20"/>
                <w:szCs w:val="20"/>
              </w:rPr>
            </w:pPr>
            <w:r w:rsidRPr="00EC3B28">
              <w:rPr>
                <w:rFonts w:eastAsiaTheme="minorEastAsia"/>
                <w:sz w:val="20"/>
                <w:szCs w:val="20"/>
              </w:rPr>
              <w:t>Reproducibility CV (%)</w:t>
            </w:r>
          </w:p>
        </w:tc>
      </w:tr>
      <w:tr w:rsidR="00A73D5E" w:rsidRPr="00EC3B28" w14:paraId="7216A554" w14:textId="77777777" w:rsidTr="00517E9E">
        <w:tc>
          <w:tcPr>
            <w:cnfStyle w:val="001000000000" w:firstRow="0" w:lastRow="0" w:firstColumn="1" w:lastColumn="0" w:oddVBand="0" w:evenVBand="0" w:oddHBand="0" w:evenHBand="0" w:firstRowFirstColumn="0" w:firstRowLastColumn="0" w:lastRowFirstColumn="0" w:lastRowLastColumn="0"/>
            <w:tcW w:w="3652" w:type="dxa"/>
          </w:tcPr>
          <w:p w14:paraId="16000A26" w14:textId="77777777" w:rsidR="00A73D5E" w:rsidRPr="00EC3B28" w:rsidRDefault="00A73D5E" w:rsidP="00517E9E">
            <w:pPr>
              <w:jc w:val="center"/>
              <w:rPr>
                <w:rFonts w:eastAsiaTheme="minorEastAsia"/>
                <w:b w:val="0"/>
                <w:sz w:val="20"/>
                <w:szCs w:val="20"/>
              </w:rPr>
            </w:pPr>
            <w:r w:rsidRPr="00EC3B28">
              <w:rPr>
                <w:rFonts w:eastAsiaTheme="minorEastAsia"/>
                <w:b w:val="0"/>
                <w:sz w:val="20"/>
                <w:szCs w:val="20"/>
              </w:rPr>
              <w:t>&gt; 1000 µg/kg</w:t>
            </w:r>
          </w:p>
        </w:tc>
        <w:tc>
          <w:tcPr>
            <w:tcW w:w="4253" w:type="dxa"/>
          </w:tcPr>
          <w:p w14:paraId="1A921AB1" w14:textId="56E5BC0B" w:rsidR="00A73D5E" w:rsidRPr="00EC3B28" w:rsidRDefault="00A73D5E" w:rsidP="00517E9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C3B28">
              <w:rPr>
                <w:rFonts w:eastAsiaTheme="minorEastAsia"/>
                <w:sz w:val="20"/>
                <w:szCs w:val="20"/>
              </w:rPr>
              <w:t xml:space="preserve">16 </w:t>
            </w:r>
            <w:r w:rsidR="00F25423">
              <w:rPr>
                <w:rFonts w:eastAsiaTheme="minorEastAsia"/>
                <w:sz w:val="20"/>
                <w:szCs w:val="20"/>
              </w:rPr>
              <w:t>(</w:t>
            </w:r>
            <w:r w:rsidRPr="00EC3B28">
              <w:rPr>
                <w:rFonts w:eastAsiaTheme="minorEastAsia"/>
                <w:sz w:val="20"/>
                <w:szCs w:val="20"/>
              </w:rPr>
              <w:t>according to Horwitz equation</w:t>
            </w:r>
            <w:r w:rsidR="00F25423">
              <w:rPr>
                <w:rFonts w:eastAsiaTheme="minorEastAsia"/>
                <w:sz w:val="20"/>
                <w:szCs w:val="20"/>
              </w:rPr>
              <w:t>)</w:t>
            </w:r>
          </w:p>
        </w:tc>
      </w:tr>
      <w:tr w:rsidR="00A73D5E" w:rsidRPr="00EC3B28" w14:paraId="14341D0D" w14:textId="77777777" w:rsidTr="00517E9E">
        <w:tc>
          <w:tcPr>
            <w:cnfStyle w:val="001000000000" w:firstRow="0" w:lastRow="0" w:firstColumn="1" w:lastColumn="0" w:oddVBand="0" w:evenVBand="0" w:oddHBand="0" w:evenHBand="0" w:firstRowFirstColumn="0" w:firstRowLastColumn="0" w:lastRowFirstColumn="0" w:lastRowLastColumn="0"/>
            <w:tcW w:w="3652" w:type="dxa"/>
          </w:tcPr>
          <w:p w14:paraId="69D18E16" w14:textId="69B6CA57" w:rsidR="00A73D5E" w:rsidRPr="00EC3B28" w:rsidRDefault="00312E9D" w:rsidP="00517E9E">
            <w:pPr>
              <w:spacing w:line="276" w:lineRule="auto"/>
              <w:jc w:val="center"/>
              <w:rPr>
                <w:rFonts w:eastAsiaTheme="minorEastAsia"/>
                <w:b w:val="0"/>
                <w:sz w:val="20"/>
                <w:szCs w:val="20"/>
              </w:rPr>
            </w:pPr>
            <w:r>
              <w:rPr>
                <w:rFonts w:eastAsiaTheme="minorEastAsia"/>
                <w:b w:val="0"/>
                <w:sz w:val="20"/>
                <w:szCs w:val="20"/>
              </w:rPr>
              <w:t>&gt;</w:t>
            </w:r>
            <w:r w:rsidR="00A73D5E" w:rsidRPr="00EC3B28">
              <w:rPr>
                <w:rFonts w:eastAsiaTheme="minorEastAsia"/>
                <w:b w:val="0"/>
                <w:sz w:val="20"/>
                <w:szCs w:val="20"/>
              </w:rPr>
              <w:t xml:space="preserve">120 µg/kg – </w:t>
            </w:r>
            <w:r w:rsidR="00F25423">
              <w:rPr>
                <w:rFonts w:eastAsiaTheme="minorEastAsia"/>
                <w:b w:val="0"/>
                <w:sz w:val="20"/>
                <w:szCs w:val="20"/>
              </w:rPr>
              <w:t>1000</w:t>
            </w:r>
            <w:r w:rsidR="00A73D5E" w:rsidRPr="00EC3B28">
              <w:rPr>
                <w:rFonts w:eastAsiaTheme="minorEastAsia"/>
                <w:b w:val="0"/>
                <w:sz w:val="20"/>
                <w:szCs w:val="20"/>
              </w:rPr>
              <w:t xml:space="preserve"> µg/kg</w:t>
            </w:r>
          </w:p>
        </w:tc>
        <w:tc>
          <w:tcPr>
            <w:tcW w:w="4253" w:type="dxa"/>
          </w:tcPr>
          <w:p w14:paraId="2744C486" w14:textId="23F248C4" w:rsidR="00A73D5E" w:rsidRPr="00EC3B28" w:rsidRDefault="00A73D5E" w:rsidP="00517E9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C3B28">
              <w:rPr>
                <w:rFonts w:eastAsiaTheme="minorEastAsia"/>
                <w:sz w:val="20"/>
                <w:szCs w:val="20"/>
              </w:rPr>
              <w:t xml:space="preserve">22 </w:t>
            </w:r>
            <w:r w:rsidR="00F25423">
              <w:rPr>
                <w:rFonts w:eastAsiaTheme="minorEastAsia"/>
                <w:sz w:val="20"/>
                <w:szCs w:val="20"/>
              </w:rPr>
              <w:t>(</w:t>
            </w:r>
            <w:r w:rsidRPr="00EC3B28">
              <w:rPr>
                <w:rFonts w:eastAsiaTheme="minorEastAsia"/>
                <w:sz w:val="20"/>
                <w:szCs w:val="20"/>
              </w:rPr>
              <w:t>according to Horwitz equation</w:t>
            </w:r>
            <w:r w:rsidR="00F25423">
              <w:rPr>
                <w:rFonts w:eastAsiaTheme="minorEastAsia"/>
                <w:sz w:val="20"/>
                <w:szCs w:val="20"/>
              </w:rPr>
              <w:t>)</w:t>
            </w:r>
          </w:p>
        </w:tc>
      </w:tr>
      <w:tr w:rsidR="00A73D5E" w:rsidRPr="00EC3B28" w14:paraId="3505F166" w14:textId="77777777" w:rsidTr="00517E9E">
        <w:tc>
          <w:tcPr>
            <w:cnfStyle w:val="001000000000" w:firstRow="0" w:lastRow="0" w:firstColumn="1" w:lastColumn="0" w:oddVBand="0" w:evenVBand="0" w:oddHBand="0" w:evenHBand="0" w:firstRowFirstColumn="0" w:firstRowLastColumn="0" w:lastRowFirstColumn="0" w:lastRowLastColumn="0"/>
            <w:tcW w:w="3652" w:type="dxa"/>
          </w:tcPr>
          <w:p w14:paraId="2E4B436E" w14:textId="305B8755" w:rsidR="00A73D5E" w:rsidRPr="00EC3B28" w:rsidRDefault="00A73D5E" w:rsidP="00517E9E">
            <w:pPr>
              <w:spacing w:line="276" w:lineRule="auto"/>
              <w:jc w:val="center"/>
              <w:rPr>
                <w:rFonts w:eastAsiaTheme="minorEastAsia"/>
                <w:b w:val="0"/>
                <w:sz w:val="20"/>
                <w:szCs w:val="20"/>
              </w:rPr>
            </w:pPr>
            <w:r w:rsidRPr="00EC3B28">
              <w:rPr>
                <w:rFonts w:eastAsiaTheme="minorEastAsia"/>
                <w:b w:val="0"/>
                <w:sz w:val="20"/>
                <w:szCs w:val="20"/>
              </w:rPr>
              <w:t>10 – 1</w:t>
            </w:r>
            <w:r w:rsidR="00F25423">
              <w:rPr>
                <w:rFonts w:eastAsiaTheme="minorEastAsia"/>
                <w:b w:val="0"/>
                <w:sz w:val="20"/>
                <w:szCs w:val="20"/>
              </w:rPr>
              <w:t>20</w:t>
            </w:r>
            <w:r w:rsidRPr="00EC3B28">
              <w:rPr>
                <w:rFonts w:eastAsiaTheme="minorEastAsia"/>
                <w:b w:val="0"/>
                <w:sz w:val="20"/>
                <w:szCs w:val="20"/>
              </w:rPr>
              <w:t xml:space="preserve"> µg/kg</w:t>
            </w:r>
          </w:p>
        </w:tc>
        <w:tc>
          <w:tcPr>
            <w:tcW w:w="4253" w:type="dxa"/>
          </w:tcPr>
          <w:p w14:paraId="1866A649" w14:textId="77777777" w:rsidR="00A73D5E" w:rsidRPr="00EC3B28" w:rsidRDefault="00A73D5E" w:rsidP="00517E9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C3B28">
              <w:rPr>
                <w:rFonts w:eastAsiaTheme="minorEastAsia"/>
                <w:sz w:val="20"/>
                <w:szCs w:val="20"/>
              </w:rPr>
              <w:t>25*</w:t>
            </w:r>
          </w:p>
        </w:tc>
      </w:tr>
      <w:tr w:rsidR="00A73D5E" w:rsidRPr="00EC3B28" w14:paraId="5324ABF5" w14:textId="77777777" w:rsidTr="00517E9E">
        <w:tc>
          <w:tcPr>
            <w:cnfStyle w:val="001000000000" w:firstRow="0" w:lastRow="0" w:firstColumn="1" w:lastColumn="0" w:oddVBand="0" w:evenVBand="0" w:oddHBand="0" w:evenHBand="0" w:firstRowFirstColumn="0" w:firstRowLastColumn="0" w:lastRowFirstColumn="0" w:lastRowLastColumn="0"/>
            <w:tcW w:w="3652" w:type="dxa"/>
          </w:tcPr>
          <w:p w14:paraId="400A9658" w14:textId="77777777" w:rsidR="00A73D5E" w:rsidRPr="00EC3B28" w:rsidRDefault="00A73D5E" w:rsidP="00517E9E">
            <w:pPr>
              <w:spacing w:line="276" w:lineRule="auto"/>
              <w:jc w:val="center"/>
              <w:rPr>
                <w:rFonts w:eastAsiaTheme="minorEastAsia"/>
                <w:b w:val="0"/>
                <w:sz w:val="20"/>
                <w:szCs w:val="20"/>
              </w:rPr>
            </w:pPr>
            <w:r w:rsidRPr="00EC3B28">
              <w:rPr>
                <w:rFonts w:eastAsiaTheme="minorEastAsia"/>
                <w:b w:val="0"/>
                <w:sz w:val="20"/>
                <w:szCs w:val="20"/>
              </w:rPr>
              <w:t>&lt;10 µg/kg</w:t>
            </w:r>
          </w:p>
        </w:tc>
        <w:tc>
          <w:tcPr>
            <w:tcW w:w="4253" w:type="dxa"/>
          </w:tcPr>
          <w:p w14:paraId="713681F6" w14:textId="77777777" w:rsidR="00A73D5E" w:rsidRPr="00EC3B28" w:rsidRDefault="00A73D5E" w:rsidP="00517E9E">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C3B28">
              <w:rPr>
                <w:rFonts w:eastAsiaTheme="minorEastAsia"/>
                <w:sz w:val="20"/>
                <w:szCs w:val="20"/>
              </w:rPr>
              <w:t>30*</w:t>
            </w:r>
          </w:p>
        </w:tc>
      </w:tr>
    </w:tbl>
    <w:p w14:paraId="40E5BDEE" w14:textId="4954BFE5" w:rsidR="00A73D5E" w:rsidRPr="00EC3B28" w:rsidRDefault="00A73D5E" w:rsidP="00A73D5E">
      <w:pPr>
        <w:tabs>
          <w:tab w:val="left" w:pos="6888"/>
        </w:tabs>
        <w:rPr>
          <w:rFonts w:eastAsiaTheme="minorEastAsia"/>
          <w:sz w:val="20"/>
          <w:szCs w:val="20"/>
        </w:rPr>
      </w:pPr>
      <w:r w:rsidRPr="00EC3B28">
        <w:rPr>
          <w:rFonts w:eastAsiaTheme="minorEastAsia"/>
          <w:sz w:val="20"/>
          <w:szCs w:val="20"/>
        </w:rPr>
        <w:t xml:space="preserve">* The CV </w:t>
      </w:r>
      <w:r w:rsidR="00F25423">
        <w:rPr>
          <w:rFonts w:eastAsiaTheme="minorEastAsia"/>
          <w:sz w:val="20"/>
          <w:szCs w:val="20"/>
        </w:rPr>
        <w:t>(</w:t>
      </w:r>
      <w:r w:rsidRPr="00EC3B28">
        <w:rPr>
          <w:rFonts w:eastAsiaTheme="minorEastAsia"/>
          <w:sz w:val="20"/>
          <w:szCs w:val="20"/>
        </w:rPr>
        <w:t>%</w:t>
      </w:r>
      <w:r w:rsidR="00F25423">
        <w:rPr>
          <w:rFonts w:eastAsiaTheme="minorEastAsia"/>
          <w:sz w:val="20"/>
          <w:szCs w:val="20"/>
        </w:rPr>
        <w:t>)</w:t>
      </w:r>
      <w:r w:rsidRPr="00EC3B28">
        <w:rPr>
          <w:rFonts w:eastAsiaTheme="minorEastAsia"/>
          <w:sz w:val="20"/>
          <w:szCs w:val="20"/>
        </w:rPr>
        <w:t xml:space="preserve"> presented is a guideline and should be as low as reasonably possible. </w:t>
      </w:r>
    </w:p>
    <w:p w14:paraId="48B42AD4" w14:textId="77777777" w:rsidR="00A73D5E" w:rsidRPr="00EC3B28" w:rsidRDefault="00A73D5E" w:rsidP="00A73D5E">
      <w:pPr>
        <w:tabs>
          <w:tab w:val="left" w:pos="6888"/>
        </w:tabs>
        <w:rPr>
          <w:rFonts w:eastAsiaTheme="minorEastAsia"/>
          <w:sz w:val="20"/>
          <w:szCs w:val="20"/>
        </w:rPr>
      </w:pPr>
      <w:r w:rsidRPr="00EC3B28">
        <w:rPr>
          <w:rFonts w:eastAsiaTheme="minorEastAsia"/>
          <w:sz w:val="20"/>
          <w:szCs w:val="20"/>
        </w:rPr>
        <w:t xml:space="preserve">For analyses carried out under repeatability conditions, the variation coefficient under repeatability conditions shall be equal or below two thirds of the values listed in Table 2. </w:t>
      </w:r>
    </w:p>
    <w:p w14:paraId="42DBD8EA" w14:textId="77777777" w:rsidR="00A73D5E" w:rsidRPr="00EC3B28" w:rsidRDefault="00A73D5E" w:rsidP="00A73D5E">
      <w:pPr>
        <w:pStyle w:val="Heading3"/>
        <w:rPr>
          <w:rFonts w:ascii="Times New Roman" w:hAnsi="Times New Roman" w:cs="Times New Roman"/>
          <w:color w:val="000000" w:themeColor="text1"/>
          <w:sz w:val="20"/>
          <w:szCs w:val="20"/>
        </w:rPr>
      </w:pPr>
      <w:bookmarkStart w:id="18" w:name="_Toc5193388"/>
      <w:r w:rsidRPr="00EC3B28">
        <w:rPr>
          <w:rFonts w:ascii="Times New Roman" w:hAnsi="Times New Roman" w:cs="Times New Roman"/>
          <w:color w:val="000000" w:themeColor="text1"/>
          <w:sz w:val="20"/>
          <w:szCs w:val="20"/>
        </w:rPr>
        <w:t>1.</w:t>
      </w:r>
      <w:bookmarkStart w:id="19" w:name="_Toc535221032"/>
      <w:r w:rsidRPr="00EC3B28">
        <w:rPr>
          <w:rFonts w:ascii="Times New Roman" w:hAnsi="Times New Roman" w:cs="Times New Roman"/>
          <w:color w:val="000000" w:themeColor="text1"/>
          <w:sz w:val="20"/>
          <w:szCs w:val="20"/>
        </w:rPr>
        <w:t>2.3 Specific performance criteria for mass spectrometric detection</w:t>
      </w:r>
      <w:bookmarkEnd w:id="18"/>
      <w:bookmarkEnd w:id="19"/>
    </w:p>
    <w:p w14:paraId="071D50F1" w14:textId="77777777" w:rsidR="00A73D5E" w:rsidRPr="00EC3B28" w:rsidRDefault="00A73D5E" w:rsidP="00A73D5E">
      <w:pPr>
        <w:pStyle w:val="Heading4"/>
        <w:rPr>
          <w:rFonts w:ascii="Times New Roman" w:eastAsiaTheme="minorEastAsia" w:hAnsi="Times New Roman" w:cs="Times New Roman"/>
          <w:b/>
          <w:sz w:val="20"/>
          <w:szCs w:val="20"/>
        </w:rPr>
      </w:pPr>
      <w:bookmarkStart w:id="20" w:name="_Toc5193389"/>
      <w:r w:rsidRPr="00EC3B28">
        <w:rPr>
          <w:rFonts w:ascii="Times New Roman" w:hAnsi="Times New Roman" w:cs="Times New Roman"/>
          <w:b/>
          <w:color w:val="000000" w:themeColor="text1"/>
          <w:sz w:val="20"/>
          <w:szCs w:val="20"/>
        </w:rPr>
        <w:t>1.</w:t>
      </w:r>
      <w:bookmarkStart w:id="21" w:name="_Toc535221033"/>
      <w:r w:rsidRPr="00EC3B28">
        <w:rPr>
          <w:rFonts w:ascii="Times New Roman" w:hAnsi="Times New Roman" w:cs="Times New Roman"/>
          <w:b/>
          <w:color w:val="000000" w:themeColor="text1"/>
          <w:sz w:val="20"/>
          <w:szCs w:val="20"/>
        </w:rPr>
        <w:t xml:space="preserve">2.3.1 </w:t>
      </w:r>
      <w:r w:rsidRPr="00EC3B28">
        <w:rPr>
          <w:rFonts w:ascii="Times New Roman" w:eastAsiaTheme="minorEastAsia" w:hAnsi="Times New Roman" w:cs="Times New Roman"/>
          <w:b/>
          <w:color w:val="000000" w:themeColor="text1"/>
          <w:sz w:val="20"/>
          <w:szCs w:val="20"/>
        </w:rPr>
        <w:t>Chromatographic separation</w:t>
      </w:r>
      <w:bookmarkEnd w:id="20"/>
      <w:bookmarkEnd w:id="21"/>
    </w:p>
    <w:p w14:paraId="0AB6EF6B" w14:textId="375E65A7" w:rsidR="00A73D5E" w:rsidRPr="00EC3B28" w:rsidRDefault="00A73D5E" w:rsidP="00A73D5E">
      <w:pPr>
        <w:rPr>
          <w:rFonts w:eastAsiaTheme="minorEastAsia"/>
          <w:color w:val="000000" w:themeColor="text1"/>
          <w:sz w:val="20"/>
          <w:szCs w:val="20"/>
        </w:rPr>
      </w:pPr>
      <w:r w:rsidRPr="00EC3B28">
        <w:rPr>
          <w:rFonts w:eastAsiaTheme="minorEastAsia"/>
          <w:sz w:val="20"/>
          <w:szCs w:val="20"/>
        </w:rPr>
        <w:t>For liquid or gas chromatography, the minimum acceptable retention time for the analyte(s) under examination shall be twice the retention time corresponding to the void volume of the column. The retention time of the analyte in the extract shall correspond to that of the calibration standard</w:t>
      </w:r>
      <w:r w:rsidR="00B66304">
        <w:rPr>
          <w:rFonts w:eastAsiaTheme="minorEastAsia"/>
          <w:sz w:val="20"/>
          <w:szCs w:val="20"/>
        </w:rPr>
        <w:t>,</w:t>
      </w:r>
      <w:r w:rsidRPr="00EC3B28">
        <w:rPr>
          <w:rFonts w:eastAsiaTheme="minorEastAsia"/>
          <w:sz w:val="20"/>
          <w:szCs w:val="20"/>
        </w:rPr>
        <w:t xml:space="preserve"> </w:t>
      </w:r>
      <w:r w:rsidR="001F7DE6">
        <w:rPr>
          <w:rFonts w:eastAsiaTheme="minorEastAsia"/>
          <w:sz w:val="20"/>
          <w:szCs w:val="20"/>
        </w:rPr>
        <w:t xml:space="preserve">a </w:t>
      </w:r>
      <w:r w:rsidRPr="00EC3B28">
        <w:rPr>
          <w:rFonts w:eastAsiaTheme="minorEastAsia"/>
          <w:sz w:val="20"/>
          <w:szCs w:val="20"/>
        </w:rPr>
        <w:t>matrix-matched standard</w:t>
      </w:r>
      <w:r w:rsidR="00B66304">
        <w:rPr>
          <w:rFonts w:eastAsiaTheme="minorEastAsia"/>
          <w:sz w:val="20"/>
          <w:szCs w:val="20"/>
        </w:rPr>
        <w:t xml:space="preserve"> or </w:t>
      </w:r>
      <w:r w:rsidR="001F7DE6">
        <w:rPr>
          <w:rFonts w:eastAsiaTheme="minorEastAsia"/>
          <w:sz w:val="20"/>
          <w:szCs w:val="20"/>
        </w:rPr>
        <w:t xml:space="preserve">a </w:t>
      </w:r>
      <w:r w:rsidR="00B66304">
        <w:rPr>
          <w:rFonts w:eastAsiaTheme="minorEastAsia"/>
          <w:sz w:val="20"/>
          <w:szCs w:val="20"/>
        </w:rPr>
        <w:t>matrix-fortified standard</w:t>
      </w:r>
      <w:r w:rsidRPr="00EC3B28">
        <w:rPr>
          <w:rFonts w:eastAsiaTheme="minorEastAsia"/>
          <w:sz w:val="20"/>
          <w:szCs w:val="20"/>
        </w:rPr>
        <w:t xml:space="preserve"> with a tolerance of ± 0.1 minute or a deviation of less than 5% of the retention time, in case the retention time is below 1 minute. In case an internal standard is used, the ratio of the chromatographic retention time of the analyte to that of the internal standard, i.e. the relative retention time of the analyte, shall correspond to that of the calibration standard</w:t>
      </w:r>
      <w:r w:rsidR="00B66304">
        <w:rPr>
          <w:rFonts w:eastAsiaTheme="minorEastAsia"/>
          <w:sz w:val="20"/>
          <w:szCs w:val="20"/>
        </w:rPr>
        <w:t>, matrix-matched standard or matrix-fortified standard</w:t>
      </w:r>
      <w:r w:rsidRPr="00EC3B28">
        <w:rPr>
          <w:rFonts w:eastAsiaTheme="minorEastAsia"/>
          <w:sz w:val="20"/>
          <w:szCs w:val="20"/>
        </w:rPr>
        <w:t xml:space="preserve"> with a maximum deviation 0.5 % for gas chromatography and </w:t>
      </w:r>
      <w:r w:rsidRPr="00EC3B28">
        <w:rPr>
          <w:rFonts w:eastAsia="Arial"/>
          <w:sz w:val="20"/>
          <w:szCs w:val="20"/>
        </w:rPr>
        <w:t xml:space="preserve">1 % for liquid chromatography for methods, validated from the date of application of this </w:t>
      </w:r>
      <w:r w:rsidRPr="00EC3B28">
        <w:rPr>
          <w:rFonts w:eastAsia="Arial"/>
          <w:color w:val="000000" w:themeColor="text1"/>
          <w:sz w:val="20"/>
          <w:szCs w:val="20"/>
        </w:rPr>
        <w:t>Regulation onwards</w:t>
      </w:r>
      <w:r w:rsidRPr="00EC3B28">
        <w:rPr>
          <w:rFonts w:eastAsiaTheme="minorEastAsia"/>
          <w:color w:val="000000" w:themeColor="text1"/>
          <w:sz w:val="20"/>
          <w:szCs w:val="20"/>
        </w:rPr>
        <w:t>.</w:t>
      </w:r>
    </w:p>
    <w:p w14:paraId="270B8263" w14:textId="77777777" w:rsidR="00A73D5E" w:rsidRPr="00EC3B28" w:rsidRDefault="00A73D5E" w:rsidP="00A73D5E">
      <w:pPr>
        <w:pStyle w:val="Heading4"/>
        <w:rPr>
          <w:rFonts w:ascii="Times New Roman" w:eastAsiaTheme="minorEastAsia" w:hAnsi="Times New Roman" w:cs="Times New Roman"/>
          <w:b/>
          <w:color w:val="000000" w:themeColor="text1"/>
          <w:sz w:val="20"/>
          <w:szCs w:val="20"/>
        </w:rPr>
      </w:pPr>
      <w:bookmarkStart w:id="22" w:name="_Toc5193390"/>
      <w:r w:rsidRPr="00EC3B28">
        <w:rPr>
          <w:rFonts w:ascii="Times New Roman" w:eastAsiaTheme="minorEastAsia" w:hAnsi="Times New Roman" w:cs="Times New Roman"/>
          <w:b/>
          <w:color w:val="000000" w:themeColor="text1"/>
          <w:sz w:val="20"/>
          <w:szCs w:val="20"/>
        </w:rPr>
        <w:t>1.</w:t>
      </w:r>
      <w:bookmarkStart w:id="23" w:name="_Toc535221034"/>
      <w:r w:rsidRPr="00EC3B28">
        <w:rPr>
          <w:rFonts w:ascii="Times New Roman" w:eastAsiaTheme="minorEastAsia" w:hAnsi="Times New Roman" w:cs="Times New Roman"/>
          <w:b/>
          <w:color w:val="000000" w:themeColor="text1"/>
          <w:sz w:val="20"/>
          <w:szCs w:val="20"/>
        </w:rPr>
        <w:t>2.3.2. Mass spectrometric detection</w:t>
      </w:r>
      <w:bookmarkEnd w:id="22"/>
      <w:bookmarkEnd w:id="23"/>
      <w:r w:rsidRPr="00EC3B28">
        <w:rPr>
          <w:rFonts w:ascii="Times New Roman" w:eastAsiaTheme="minorEastAsia" w:hAnsi="Times New Roman" w:cs="Times New Roman"/>
          <w:b/>
          <w:color w:val="000000" w:themeColor="text1"/>
          <w:sz w:val="20"/>
          <w:szCs w:val="20"/>
        </w:rPr>
        <w:t xml:space="preserve"> </w:t>
      </w:r>
    </w:p>
    <w:p w14:paraId="7F95D160" w14:textId="77777777" w:rsidR="00A73D5E" w:rsidRPr="00EC3B28" w:rsidRDefault="00A73D5E" w:rsidP="00A73D5E">
      <w:pPr>
        <w:rPr>
          <w:rFonts w:eastAsiaTheme="minorEastAsia"/>
          <w:sz w:val="20"/>
          <w:szCs w:val="20"/>
        </w:rPr>
      </w:pPr>
      <w:r w:rsidRPr="00EC3B28">
        <w:rPr>
          <w:rFonts w:eastAsiaTheme="minorEastAsia"/>
          <w:sz w:val="20"/>
          <w:szCs w:val="20"/>
        </w:rPr>
        <w:t>Mass-spectrometric detection shall be carried out by using the following mass spectrometry techniques:</w:t>
      </w:r>
    </w:p>
    <w:p w14:paraId="318E3FAB" w14:textId="12CA5323" w:rsidR="00A73D5E" w:rsidRPr="00EC3B28" w:rsidRDefault="00A73D5E" w:rsidP="00A73D5E">
      <w:pPr>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 xml:space="preserve">recording full scan (FS) mass spectra </w:t>
      </w:r>
    </w:p>
    <w:p w14:paraId="392D5D43" w14:textId="3DD49CEA" w:rsidR="00A73D5E" w:rsidRPr="00EC3B28" w:rsidRDefault="00A73D5E" w:rsidP="00A73D5E">
      <w:pPr>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 xml:space="preserve">selected ion monitoring (SIM)  </w:t>
      </w:r>
    </w:p>
    <w:p w14:paraId="1C5F9A86" w14:textId="01821725" w:rsidR="00A73D5E" w:rsidRPr="00EC3B28" w:rsidRDefault="00A73D5E" w:rsidP="00A73D5E">
      <w:pPr>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sequential mass spectrometry (MS</w:t>
      </w:r>
      <w:r w:rsidRPr="00EC3B28">
        <w:rPr>
          <w:rFonts w:eastAsiaTheme="minorEastAsia"/>
          <w:sz w:val="20"/>
          <w:szCs w:val="20"/>
          <w:vertAlign w:val="superscript"/>
        </w:rPr>
        <w:t>n</w:t>
      </w:r>
      <w:r w:rsidRPr="00EC3B28">
        <w:rPr>
          <w:rFonts w:eastAsiaTheme="minorEastAsia"/>
          <w:sz w:val="20"/>
          <w:szCs w:val="20"/>
        </w:rPr>
        <w:t xml:space="preserve">) techniques such as Selected Reaction Monitoring (SRM) </w:t>
      </w:r>
    </w:p>
    <w:p w14:paraId="1AB7CF96" w14:textId="1A6BAD51" w:rsidR="00A73D5E" w:rsidRPr="00EC3B28" w:rsidRDefault="00A73D5E" w:rsidP="00A73D5E">
      <w:pPr>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a combination of mass spectrometry (MS) or sequential mass spectrometry (MS</w:t>
      </w:r>
      <w:r w:rsidRPr="00EC3B28">
        <w:rPr>
          <w:rFonts w:eastAsiaTheme="minorEastAsia"/>
          <w:sz w:val="20"/>
          <w:szCs w:val="20"/>
          <w:vertAlign w:val="superscript"/>
        </w:rPr>
        <w:t>n</w:t>
      </w:r>
      <w:r w:rsidRPr="00EC3B28">
        <w:rPr>
          <w:rFonts w:eastAsiaTheme="minorEastAsia"/>
          <w:sz w:val="20"/>
          <w:szCs w:val="20"/>
        </w:rPr>
        <w:t xml:space="preserve">) techniques with appropriate ionisation modes. </w:t>
      </w:r>
    </w:p>
    <w:p w14:paraId="18A37D38" w14:textId="7A803B96" w:rsidR="00A73D5E" w:rsidRPr="00EC3B28" w:rsidRDefault="00A73D5E" w:rsidP="00A73D5E">
      <w:pPr>
        <w:rPr>
          <w:rFonts w:eastAsiaTheme="minorEastAsia"/>
          <w:sz w:val="20"/>
          <w:szCs w:val="20"/>
        </w:rPr>
      </w:pPr>
      <w:r w:rsidRPr="00EC3B28">
        <w:rPr>
          <w:rFonts w:eastAsiaTheme="minorEastAsia"/>
          <w:sz w:val="20"/>
          <w:szCs w:val="20"/>
        </w:rPr>
        <w:t>Both low resolution mass spectrometry (LRMS, at unit mass resolution) and high-resolution mass spectrometry (HRMS), including e.g. double</w:t>
      </w:r>
      <w:r w:rsidR="000376D3">
        <w:rPr>
          <w:rFonts w:eastAsiaTheme="minorEastAsia"/>
          <w:sz w:val="20"/>
          <w:szCs w:val="20"/>
        </w:rPr>
        <w:t xml:space="preserve"> focusing</w:t>
      </w:r>
      <w:r w:rsidRPr="00EC3B28">
        <w:rPr>
          <w:rFonts w:eastAsiaTheme="minorEastAsia"/>
          <w:sz w:val="20"/>
          <w:szCs w:val="20"/>
        </w:rPr>
        <w:t xml:space="preserve"> sectors, Time of Flight (TOF) and Orbitrap instruments are appropriate.</w:t>
      </w:r>
      <w:r w:rsidRPr="00EC3B28">
        <w:rPr>
          <w:rFonts w:eastAsia="Times New Roman"/>
          <w:sz w:val="20"/>
          <w:szCs w:val="20"/>
        </w:rPr>
        <w:t xml:space="preserve"> </w:t>
      </w:r>
    </w:p>
    <w:p w14:paraId="53078B02" w14:textId="77777777" w:rsidR="00A73D5E" w:rsidRPr="00EC3B28" w:rsidRDefault="00A73D5E" w:rsidP="00A73D5E">
      <w:pPr>
        <w:rPr>
          <w:rFonts w:eastAsiaTheme="minorEastAsia"/>
          <w:sz w:val="20"/>
          <w:szCs w:val="20"/>
        </w:rPr>
      </w:pPr>
      <w:r w:rsidRPr="00EC3B28">
        <w:rPr>
          <w:rFonts w:eastAsiaTheme="minorEastAsia"/>
          <w:sz w:val="20"/>
          <w:szCs w:val="20"/>
        </w:rPr>
        <w:lastRenderedPageBreak/>
        <w:t>For confirmation of the identity of an analyte in high-resolution mass spectrometry (HRMS) the mass deviation of all diagnostic ions shall be below 5 ppm (or in case of m/z &lt; 200 below 1 mDa). On basis of this the resolution should be selected fit for purpose and the resolution shall typically be greater than 10,000 for the entire mass range at 10 % valley or 20,000 at full width at half maximum (FHWM).</w:t>
      </w:r>
    </w:p>
    <w:p w14:paraId="636CB85F" w14:textId="44C96AC9" w:rsidR="00A73D5E" w:rsidRPr="00EC3B28" w:rsidRDefault="00A73D5E" w:rsidP="00A73D5E">
      <w:pPr>
        <w:rPr>
          <w:rFonts w:eastAsia="Calibri"/>
          <w:sz w:val="20"/>
          <w:szCs w:val="20"/>
        </w:rPr>
      </w:pPr>
      <w:r w:rsidRPr="00EC3B28">
        <w:rPr>
          <w:rFonts w:eastAsiaTheme="minorEastAsia"/>
          <w:sz w:val="20"/>
          <w:szCs w:val="20"/>
        </w:rPr>
        <w:t>When mass spectrometric determination is performed by the recording of full scan spectra (both LRMS and HRMS), only diagnostic ions with a relative intensity of more than 10 % in the reference spectrum of the calibration standard</w:t>
      </w:r>
      <w:r w:rsidR="00B66304">
        <w:rPr>
          <w:rFonts w:eastAsiaTheme="minorEastAsia"/>
          <w:sz w:val="20"/>
          <w:szCs w:val="20"/>
        </w:rPr>
        <w:t>,</w:t>
      </w:r>
      <w:r w:rsidRPr="00EC3B28">
        <w:rPr>
          <w:rFonts w:eastAsiaTheme="minorEastAsia"/>
          <w:sz w:val="20"/>
          <w:szCs w:val="20"/>
        </w:rPr>
        <w:t xml:space="preserve"> matrix-matched standard</w:t>
      </w:r>
      <w:r w:rsidR="00B66304">
        <w:rPr>
          <w:rFonts w:eastAsiaTheme="minorEastAsia"/>
          <w:sz w:val="20"/>
          <w:szCs w:val="20"/>
        </w:rPr>
        <w:t xml:space="preserve"> or matrix-fortified standard</w:t>
      </w:r>
      <w:r w:rsidRPr="00EC3B28">
        <w:rPr>
          <w:rFonts w:eastAsiaTheme="minorEastAsia"/>
          <w:sz w:val="20"/>
          <w:szCs w:val="20"/>
        </w:rPr>
        <w:t>s are suitable. Diagnostic ions shall include the molecular ion if present at ≥10</w:t>
      </w:r>
      <w:r w:rsidR="00E01501">
        <w:rPr>
          <w:rFonts w:eastAsiaTheme="minorEastAsia"/>
          <w:sz w:val="20"/>
          <w:szCs w:val="20"/>
        </w:rPr>
        <w:t xml:space="preserve"> </w:t>
      </w:r>
      <w:r w:rsidRPr="00EC3B28">
        <w:rPr>
          <w:rFonts w:eastAsiaTheme="minorEastAsia"/>
          <w:sz w:val="20"/>
          <w:szCs w:val="20"/>
        </w:rPr>
        <w:t xml:space="preserve">% intensity of the base peak and characteristic fragment </w:t>
      </w:r>
      <w:r w:rsidR="00B66304">
        <w:rPr>
          <w:rFonts w:eastAsiaTheme="minorEastAsia"/>
          <w:sz w:val="20"/>
          <w:szCs w:val="20"/>
        </w:rPr>
        <w:t xml:space="preserve">or product </w:t>
      </w:r>
      <w:r w:rsidRPr="00EC3B28">
        <w:rPr>
          <w:rFonts w:eastAsiaTheme="minorEastAsia"/>
          <w:sz w:val="20"/>
          <w:szCs w:val="20"/>
        </w:rPr>
        <w:t xml:space="preserve">ions. </w:t>
      </w:r>
      <w:r w:rsidRPr="00BF37FE">
        <w:rPr>
          <w:rFonts w:eastAsia="Calibri"/>
          <w:sz w:val="20"/>
          <w:szCs w:val="20"/>
        </w:rPr>
        <w:t>Precursor</w:t>
      </w:r>
      <w:r w:rsidRPr="00EC3B28">
        <w:rPr>
          <w:rFonts w:eastAsia="Calibri"/>
          <w:sz w:val="20"/>
          <w:szCs w:val="20"/>
        </w:rPr>
        <w:t xml:space="preserve"> ion selection: When mass spectrometric determination is performed by fragmentation after precursor ion selection, precursor ion selection is carried out at unit mass resolution or better. The selected precursor ion should be the molecular ion, characteristic adducts of the molecular ion, characteristic product ions or one of their isotope ions. In case the precursor selection has a mass selection window of more than one Dalton (e.g. in case of Data Independent Acquisition) the technique is considered as full-scan confirmatory analysis.</w:t>
      </w:r>
      <w:r w:rsidRPr="00EC3B28">
        <w:rPr>
          <w:rFonts w:eastAsia="Times New Roman"/>
          <w:sz w:val="20"/>
          <w:szCs w:val="20"/>
        </w:rPr>
        <w:t xml:space="preserve"> </w:t>
      </w:r>
    </w:p>
    <w:p w14:paraId="5CE9FCE3" w14:textId="5BB0EC07" w:rsidR="00A73D5E" w:rsidRPr="00EC3B28" w:rsidRDefault="00B66304" w:rsidP="00A73D5E">
      <w:pPr>
        <w:rPr>
          <w:rFonts w:eastAsiaTheme="minorEastAsia"/>
          <w:sz w:val="20"/>
          <w:szCs w:val="20"/>
        </w:rPr>
      </w:pPr>
      <w:r>
        <w:rPr>
          <w:rFonts w:eastAsiaTheme="minorEastAsia"/>
          <w:sz w:val="20"/>
          <w:szCs w:val="20"/>
        </w:rPr>
        <w:t>Fragment and p</w:t>
      </w:r>
      <w:r w:rsidR="00A73D5E" w:rsidRPr="00EC3B28">
        <w:rPr>
          <w:rFonts w:eastAsiaTheme="minorEastAsia"/>
          <w:sz w:val="20"/>
          <w:szCs w:val="20"/>
        </w:rPr>
        <w:t xml:space="preserve">roduct ions: The selected diagnostic product </w:t>
      </w:r>
      <w:r>
        <w:rPr>
          <w:rFonts w:eastAsiaTheme="minorEastAsia"/>
          <w:sz w:val="20"/>
          <w:szCs w:val="20"/>
        </w:rPr>
        <w:t xml:space="preserve">or fragment </w:t>
      </w:r>
      <w:r w:rsidR="00A73D5E" w:rsidRPr="00EC3B28">
        <w:rPr>
          <w:rFonts w:eastAsiaTheme="minorEastAsia"/>
          <w:sz w:val="20"/>
          <w:szCs w:val="20"/>
        </w:rPr>
        <w:t xml:space="preserve">ions should be diagnostic fragment ions/transitions. Non-selective transitions (e.g. the tropylium cation or loss of water) should be omitted whenever possible. The abundance of diagnostic ions shall be determined from the peak area or height of integrated extracted ion chromatograms. This is also applicable when full-scan measurements are used for identification. The signal-to-noise (S/N) ratio of all diagnostic ions shall be greater than three to one (3:1). </w:t>
      </w:r>
    </w:p>
    <w:p w14:paraId="17976B48" w14:textId="38D04CB8" w:rsidR="00A73D5E" w:rsidRPr="00EC3B28" w:rsidRDefault="00A73D5E" w:rsidP="00A73D5E">
      <w:pPr>
        <w:rPr>
          <w:rFonts w:eastAsiaTheme="minorEastAsia"/>
          <w:sz w:val="20"/>
          <w:szCs w:val="20"/>
        </w:rPr>
      </w:pPr>
      <w:r w:rsidRPr="00EC3B28">
        <w:rPr>
          <w:rFonts w:eastAsiaTheme="minorEastAsia"/>
          <w:sz w:val="20"/>
          <w:szCs w:val="20"/>
        </w:rPr>
        <w:t>Relative intensities: The relative intensities of the diagnostic ions (ion ratio</w:t>
      </w:r>
      <w:r w:rsidRPr="00BF37FE">
        <w:rPr>
          <w:rFonts w:eastAsiaTheme="minorEastAsia"/>
          <w:sz w:val="20"/>
          <w:szCs w:val="20"/>
        </w:rPr>
        <w:t>)</w:t>
      </w:r>
      <w:r w:rsidRPr="00EC3B28">
        <w:rPr>
          <w:rFonts w:eastAsiaTheme="minorEastAsia"/>
          <w:sz w:val="20"/>
          <w:szCs w:val="20"/>
        </w:rPr>
        <w:t xml:space="preserve"> are expressed as a percentage of the intensity of the most abundant ion or transition. The </w:t>
      </w:r>
      <w:r w:rsidR="00B66304">
        <w:rPr>
          <w:rFonts w:eastAsiaTheme="minorEastAsia"/>
          <w:sz w:val="20"/>
          <w:szCs w:val="20"/>
        </w:rPr>
        <w:t>ion ratio</w:t>
      </w:r>
      <w:r w:rsidRPr="00EC3B28">
        <w:rPr>
          <w:rFonts w:eastAsiaTheme="minorEastAsia"/>
          <w:sz w:val="20"/>
          <w:szCs w:val="20"/>
        </w:rPr>
        <w:t xml:space="preserve"> has to be determined by comparing spectra or by integrating the signals of the extracted ion mass traces. The ion ratio of the analyte to be confirmed shall correspond to those of the matrix-matched standards </w:t>
      </w:r>
      <w:r w:rsidR="00B66304">
        <w:rPr>
          <w:rFonts w:eastAsiaTheme="minorEastAsia"/>
          <w:sz w:val="20"/>
          <w:szCs w:val="20"/>
        </w:rPr>
        <w:t xml:space="preserve">or matrix-fortified standards </w:t>
      </w:r>
      <w:r w:rsidRPr="00EC3B28">
        <w:rPr>
          <w:rFonts w:eastAsiaTheme="minorEastAsia"/>
          <w:sz w:val="20"/>
          <w:szCs w:val="20"/>
        </w:rPr>
        <w:t xml:space="preserve">at comparable concentrations, measured under the same conditions, </w:t>
      </w:r>
      <w:r w:rsidRPr="00EC3B28">
        <w:rPr>
          <w:rFonts w:eastAsiaTheme="minorEastAsia"/>
          <w:bCs/>
          <w:sz w:val="20"/>
          <w:szCs w:val="20"/>
        </w:rPr>
        <w:t>within ±</w:t>
      </w:r>
      <w:r w:rsidRPr="00EC3B28">
        <w:rPr>
          <w:rFonts w:eastAsiaTheme="minorEastAsia"/>
          <w:sz w:val="20"/>
          <w:szCs w:val="20"/>
        </w:rPr>
        <w:t>30</w:t>
      </w:r>
      <w:r w:rsidR="00BF37FE">
        <w:rPr>
          <w:rFonts w:eastAsiaTheme="minorEastAsia"/>
          <w:sz w:val="20"/>
          <w:szCs w:val="20"/>
        </w:rPr>
        <w:t xml:space="preserve"> </w:t>
      </w:r>
      <w:r w:rsidRPr="00EC3B28">
        <w:rPr>
          <w:rFonts w:eastAsiaTheme="minorEastAsia"/>
          <w:bCs/>
          <w:sz w:val="20"/>
          <w:szCs w:val="20"/>
        </w:rPr>
        <w:t>% relative deviation</w:t>
      </w:r>
      <w:r w:rsidRPr="00EC3B28">
        <w:rPr>
          <w:rFonts w:eastAsiaTheme="minorEastAsia"/>
          <w:sz w:val="20"/>
          <w:szCs w:val="20"/>
        </w:rPr>
        <w:t xml:space="preserve">. </w:t>
      </w:r>
    </w:p>
    <w:p w14:paraId="26FB6254" w14:textId="0E2DD2BC" w:rsidR="00A73D5E" w:rsidRDefault="00A73D5E" w:rsidP="00A73D5E">
      <w:pPr>
        <w:rPr>
          <w:rFonts w:eastAsiaTheme="minorEastAsia"/>
          <w:sz w:val="20"/>
          <w:szCs w:val="20"/>
        </w:rPr>
      </w:pPr>
      <w:r w:rsidRPr="00EC3B28">
        <w:rPr>
          <w:rFonts w:eastAsiaTheme="minorEastAsia"/>
          <w:sz w:val="20"/>
          <w:szCs w:val="20"/>
        </w:rPr>
        <w:t xml:space="preserve">For all mass spectrometric </w:t>
      </w:r>
      <w:r w:rsidR="00B265E2" w:rsidRPr="00EC3B28">
        <w:rPr>
          <w:rFonts w:eastAsiaTheme="minorEastAsia"/>
          <w:sz w:val="20"/>
          <w:szCs w:val="20"/>
        </w:rPr>
        <w:t>analyses,</w:t>
      </w:r>
      <w:r w:rsidRPr="00EC3B28">
        <w:rPr>
          <w:rFonts w:eastAsiaTheme="minorEastAsia"/>
          <w:sz w:val="20"/>
          <w:szCs w:val="20"/>
        </w:rPr>
        <w:t xml:space="preserve"> at least one ion ratio shall be determined.</w:t>
      </w:r>
      <w:r w:rsidR="00B66304" w:rsidRPr="00B66304">
        <w:rPr>
          <w:rFonts w:eastAsiaTheme="minorEastAsia"/>
          <w:sz w:val="20"/>
          <w:szCs w:val="20"/>
        </w:rPr>
        <w:t xml:space="preserve"> </w:t>
      </w:r>
      <w:r w:rsidR="00B66304">
        <w:rPr>
          <w:rFonts w:eastAsiaTheme="minorEastAsia"/>
          <w:sz w:val="20"/>
          <w:szCs w:val="20"/>
        </w:rPr>
        <w:t>These are preferable ions obtained within a single scan, but the ions can also origin from different scans (i.e. full scan and fragmentation scan).</w:t>
      </w:r>
    </w:p>
    <w:p w14:paraId="14F7FAB3" w14:textId="77777777" w:rsidR="00A73D5E" w:rsidRPr="00EC3B28" w:rsidRDefault="00A73D5E" w:rsidP="00A73D5E">
      <w:pPr>
        <w:pStyle w:val="Heading4"/>
        <w:rPr>
          <w:rFonts w:ascii="Times New Roman" w:eastAsiaTheme="minorEastAsia" w:hAnsi="Times New Roman" w:cs="Times New Roman"/>
          <w:b/>
          <w:color w:val="000000" w:themeColor="text1"/>
          <w:sz w:val="20"/>
          <w:szCs w:val="20"/>
        </w:rPr>
      </w:pPr>
      <w:bookmarkStart w:id="24" w:name="_Toc5193391"/>
      <w:r w:rsidRPr="00EC3B28">
        <w:rPr>
          <w:rFonts w:ascii="Times New Roman" w:hAnsi="Times New Roman" w:cs="Times New Roman"/>
          <w:b/>
          <w:color w:val="000000" w:themeColor="text1"/>
          <w:sz w:val="20"/>
          <w:szCs w:val="20"/>
        </w:rPr>
        <w:t>1.</w:t>
      </w:r>
      <w:bookmarkStart w:id="25" w:name="_Toc535221035"/>
      <w:r w:rsidRPr="00EC3B28">
        <w:rPr>
          <w:rFonts w:ascii="Times New Roman" w:hAnsi="Times New Roman" w:cs="Times New Roman"/>
          <w:b/>
          <w:color w:val="000000" w:themeColor="text1"/>
          <w:sz w:val="20"/>
          <w:szCs w:val="20"/>
        </w:rPr>
        <w:t>2.3.3 Identification</w:t>
      </w:r>
      <w:bookmarkEnd w:id="24"/>
      <w:r w:rsidRPr="00EC3B28">
        <w:rPr>
          <w:rFonts w:ascii="Times New Roman" w:hAnsi="Times New Roman" w:cs="Times New Roman"/>
          <w:b/>
          <w:color w:val="000000" w:themeColor="text1"/>
          <w:sz w:val="20"/>
          <w:szCs w:val="20"/>
        </w:rPr>
        <w:t xml:space="preserve"> </w:t>
      </w:r>
      <w:bookmarkEnd w:id="25"/>
    </w:p>
    <w:p w14:paraId="085951C3" w14:textId="6DF9F8B2" w:rsidR="00A73D5E" w:rsidRPr="00EC3B28" w:rsidRDefault="00A73D5E" w:rsidP="00A73D5E">
      <w:pPr>
        <w:rPr>
          <w:rFonts w:eastAsia="Calibri"/>
          <w:sz w:val="20"/>
          <w:szCs w:val="20"/>
        </w:rPr>
      </w:pPr>
      <w:r w:rsidRPr="00EC3B28">
        <w:rPr>
          <w:rFonts w:eastAsiaTheme="minorEastAsia"/>
          <w:sz w:val="20"/>
          <w:szCs w:val="20"/>
        </w:rPr>
        <w:t xml:space="preserve">A system of identification points shall be used to select adequate acquisition modes and evaluation criteria. For confirmation of the identity of substances in a matrix for which an MRL is established (authorised </w:t>
      </w:r>
      <w:r w:rsidR="00B265E2" w:rsidRPr="00EC3B28">
        <w:rPr>
          <w:rFonts w:eastAsiaTheme="minorEastAsia"/>
          <w:sz w:val="20"/>
          <w:szCs w:val="20"/>
        </w:rPr>
        <w:t>use),</w:t>
      </w:r>
      <w:r w:rsidRPr="00EC3B28">
        <w:rPr>
          <w:rFonts w:eastAsiaTheme="minorEastAsia"/>
          <w:sz w:val="20"/>
          <w:szCs w:val="20"/>
        </w:rPr>
        <w:t xml:space="preserve"> a minimum of 4 identification points is required. For non-authorized or prohibited </w:t>
      </w:r>
      <w:r w:rsidR="00B265E2" w:rsidRPr="00EC3B28">
        <w:rPr>
          <w:rFonts w:eastAsiaTheme="minorEastAsia"/>
          <w:sz w:val="20"/>
          <w:szCs w:val="20"/>
        </w:rPr>
        <w:t>substances,</w:t>
      </w:r>
      <w:r w:rsidRPr="00EC3B28">
        <w:rPr>
          <w:rFonts w:eastAsiaTheme="minorEastAsia"/>
          <w:sz w:val="20"/>
          <w:szCs w:val="20"/>
        </w:rPr>
        <w:t xml:space="preserve"> 5 identification points are required. One point can originate from the chromatographic separation. The table below shows the number of identification points that each of the techniques yields. To qualify for the identification points required for confirmation, identification points obtained from different techniques can be added</w:t>
      </w:r>
      <w:r w:rsidRPr="00EC3B28">
        <w:rPr>
          <w:rFonts w:eastAsia="Calibri"/>
          <w:sz w:val="20"/>
          <w:szCs w:val="20"/>
        </w:rPr>
        <w:t xml:space="preserve"> up.  </w:t>
      </w:r>
    </w:p>
    <w:p w14:paraId="65A26A2C" w14:textId="77777777" w:rsidR="00A73D5E" w:rsidRPr="00EC3B28" w:rsidRDefault="00A73D5E" w:rsidP="00A73D5E">
      <w:pPr>
        <w:rPr>
          <w:rFonts w:eastAsia="Calibri"/>
          <w:sz w:val="20"/>
          <w:szCs w:val="20"/>
        </w:rPr>
      </w:pPr>
      <w:r w:rsidRPr="00EC3B28">
        <w:rPr>
          <w:rFonts w:eastAsia="Calibri"/>
          <w:sz w:val="20"/>
          <w:szCs w:val="20"/>
        </w:rPr>
        <w:t>(a) All mass spectrometric analyses are combined with a separation technique that shows sufficient separation power and selectivity for the specific application. Suitable separation techniques are amongst others liquid and gas chromatography, electrophoresis, ion mobility spectrometry and super critical phase chromatography.</w:t>
      </w:r>
      <w:r w:rsidRPr="00EC3B28" w:rsidDel="00646D37">
        <w:rPr>
          <w:rFonts w:eastAsia="Calibri"/>
          <w:sz w:val="20"/>
          <w:szCs w:val="20"/>
        </w:rPr>
        <w:t xml:space="preserve"> </w:t>
      </w:r>
    </w:p>
    <w:p w14:paraId="228F8BDF" w14:textId="64D72BC7" w:rsidR="00A73D5E" w:rsidRPr="00EC3B28" w:rsidRDefault="00A73D5E" w:rsidP="00A73D5E">
      <w:pPr>
        <w:rPr>
          <w:rFonts w:eastAsia="Calibri"/>
          <w:sz w:val="20"/>
          <w:szCs w:val="20"/>
        </w:rPr>
      </w:pPr>
      <w:r w:rsidRPr="00EC3B28">
        <w:rPr>
          <w:rFonts w:eastAsia="Calibri"/>
          <w:sz w:val="20"/>
          <w:szCs w:val="20"/>
        </w:rPr>
        <w:t>(</w:t>
      </w:r>
      <w:r w:rsidR="00793651">
        <w:rPr>
          <w:rFonts w:eastAsia="Calibri"/>
          <w:sz w:val="20"/>
          <w:szCs w:val="20"/>
        </w:rPr>
        <w:t>b</w:t>
      </w:r>
      <w:r w:rsidRPr="00EC3B28">
        <w:rPr>
          <w:rFonts w:eastAsia="Calibri"/>
          <w:sz w:val="20"/>
          <w:szCs w:val="20"/>
        </w:rPr>
        <w:t>) A maximum of three separate techniques can be combined to achieve the minimum number of identification points.</w:t>
      </w:r>
    </w:p>
    <w:p w14:paraId="77F5BFCD" w14:textId="2848619B" w:rsidR="00A73D5E" w:rsidRPr="00EC3B28" w:rsidRDefault="00A73D5E" w:rsidP="00A73D5E">
      <w:pPr>
        <w:rPr>
          <w:rFonts w:eastAsia="Calibri"/>
          <w:sz w:val="20"/>
          <w:szCs w:val="20"/>
        </w:rPr>
      </w:pPr>
      <w:r w:rsidRPr="00EC3B28">
        <w:rPr>
          <w:rFonts w:eastAsia="Calibri"/>
          <w:sz w:val="20"/>
          <w:szCs w:val="20"/>
        </w:rPr>
        <w:t>(</w:t>
      </w:r>
      <w:r w:rsidR="00793651">
        <w:rPr>
          <w:rFonts w:eastAsia="Calibri"/>
          <w:sz w:val="20"/>
          <w:szCs w:val="20"/>
        </w:rPr>
        <w:t>c</w:t>
      </w:r>
      <w:r w:rsidRPr="00EC3B28">
        <w:rPr>
          <w:rFonts w:eastAsia="Calibri"/>
          <w:sz w:val="20"/>
          <w:szCs w:val="20"/>
        </w:rPr>
        <w:t>) Different ionisation modes (e.g. electron ionisation and chemical ionisation) are considered as different techniques</w:t>
      </w:r>
      <w:r w:rsidR="00793651">
        <w:rPr>
          <w:rFonts w:eastAsia="Calibri"/>
          <w:sz w:val="20"/>
          <w:szCs w:val="20"/>
        </w:rPr>
        <w:t>.</w:t>
      </w:r>
      <w:r w:rsidRPr="00EC3B28">
        <w:rPr>
          <w:rFonts w:eastAsia="Calibri"/>
          <w:sz w:val="20"/>
          <w:szCs w:val="20"/>
        </w:rPr>
        <w:t xml:space="preserve"> </w:t>
      </w:r>
    </w:p>
    <w:p w14:paraId="7092C71F" w14:textId="77777777" w:rsidR="00762DD7" w:rsidRDefault="00762DD7" w:rsidP="00A73D5E">
      <w:pPr>
        <w:rPr>
          <w:rFonts w:eastAsia="Calibri"/>
          <w:b/>
          <w:sz w:val="20"/>
          <w:szCs w:val="20"/>
        </w:rPr>
      </w:pPr>
    </w:p>
    <w:p w14:paraId="4C5B96C5" w14:textId="369E998B" w:rsidR="00762DD7" w:rsidRDefault="00762DD7" w:rsidP="00A73D5E">
      <w:pPr>
        <w:rPr>
          <w:rFonts w:eastAsia="Calibri"/>
          <w:b/>
          <w:sz w:val="20"/>
          <w:szCs w:val="20"/>
        </w:rPr>
      </w:pPr>
    </w:p>
    <w:p w14:paraId="7D7545CE" w14:textId="3A16B7DC" w:rsidR="00D53EAC" w:rsidRDefault="00D53EAC" w:rsidP="00A73D5E">
      <w:pPr>
        <w:rPr>
          <w:rFonts w:eastAsia="Calibri"/>
          <w:b/>
          <w:sz w:val="20"/>
          <w:szCs w:val="20"/>
        </w:rPr>
      </w:pPr>
    </w:p>
    <w:p w14:paraId="29CC1ADA" w14:textId="4016F902" w:rsidR="00A73D5E" w:rsidRPr="00EC3B28" w:rsidRDefault="00A73D5E" w:rsidP="00A73D5E">
      <w:pPr>
        <w:rPr>
          <w:rFonts w:eastAsia="Calibri"/>
          <w:sz w:val="20"/>
          <w:szCs w:val="20"/>
        </w:rPr>
      </w:pPr>
      <w:r w:rsidRPr="00EC3B28">
        <w:rPr>
          <w:rFonts w:eastAsia="Calibri"/>
          <w:b/>
          <w:sz w:val="20"/>
          <w:szCs w:val="20"/>
        </w:rPr>
        <w:lastRenderedPageBreak/>
        <w:t>Table 3.</w:t>
      </w:r>
      <w:r w:rsidRPr="00EC3B28">
        <w:rPr>
          <w:rFonts w:eastAsia="Calibri"/>
          <w:sz w:val="20"/>
          <w:szCs w:val="20"/>
        </w:rPr>
        <w:t xml:space="preserve"> Identification points per technique</w:t>
      </w:r>
    </w:p>
    <w:tbl>
      <w:tblPr>
        <w:tblStyle w:val="Grilledetableauclaire1"/>
        <w:tblW w:w="0" w:type="auto"/>
        <w:tblLayout w:type="fixed"/>
        <w:tblLook w:val="06A0" w:firstRow="1" w:lastRow="0" w:firstColumn="1" w:lastColumn="0" w:noHBand="1" w:noVBand="1"/>
      </w:tblPr>
      <w:tblGrid>
        <w:gridCol w:w="4928"/>
        <w:gridCol w:w="2835"/>
      </w:tblGrid>
      <w:tr w:rsidR="004926D6" w:rsidRPr="00EC3B28" w14:paraId="129F8E4E" w14:textId="77777777" w:rsidTr="00517E9E">
        <w:trPr>
          <w:trHeight w:val="196"/>
        </w:trPr>
        <w:tc>
          <w:tcPr>
            <w:tcW w:w="7763" w:type="dxa"/>
            <w:gridSpan w:val="2"/>
          </w:tcPr>
          <w:p w14:paraId="0E6E72C3" w14:textId="77777777" w:rsidR="004926D6" w:rsidRPr="00EC3B28" w:rsidRDefault="004926D6" w:rsidP="004926D6">
            <w:pPr>
              <w:spacing w:line="276" w:lineRule="auto"/>
              <w:jc w:val="center"/>
              <w:rPr>
                <w:rFonts w:eastAsia="Calibri"/>
                <w:b/>
                <w:sz w:val="20"/>
                <w:szCs w:val="20"/>
                <w:lang w:val="nl"/>
              </w:rPr>
            </w:pPr>
            <w:r w:rsidRPr="00EC3B28">
              <w:rPr>
                <w:rFonts w:eastAsia="Calibri"/>
                <w:b/>
                <w:sz w:val="20"/>
                <w:szCs w:val="20"/>
                <w:lang w:val="nl"/>
              </w:rPr>
              <w:t>Table 3</w:t>
            </w:r>
          </w:p>
          <w:p w14:paraId="4CC091A0" w14:textId="0A9083C2" w:rsidR="00D9312F" w:rsidRPr="00EC3B28" w:rsidRDefault="00D9312F" w:rsidP="004926D6">
            <w:pPr>
              <w:spacing w:line="276" w:lineRule="auto"/>
              <w:jc w:val="center"/>
              <w:rPr>
                <w:rFonts w:eastAsia="Calibri"/>
                <w:b/>
                <w:sz w:val="20"/>
                <w:szCs w:val="20"/>
                <w:lang w:val="nl"/>
              </w:rPr>
            </w:pPr>
            <w:r w:rsidRPr="00EC3B28">
              <w:rPr>
                <w:rFonts w:eastAsia="Calibri"/>
                <w:b/>
                <w:sz w:val="20"/>
                <w:szCs w:val="20"/>
                <w:lang w:val="nl"/>
              </w:rPr>
              <w:t xml:space="preserve">Identification points per technique </w:t>
            </w:r>
          </w:p>
        </w:tc>
      </w:tr>
      <w:tr w:rsidR="00A73D5E" w:rsidRPr="00EC3B28" w14:paraId="64187BBF" w14:textId="77777777" w:rsidTr="00517E9E">
        <w:trPr>
          <w:trHeight w:val="196"/>
        </w:trPr>
        <w:tc>
          <w:tcPr>
            <w:tcW w:w="4928" w:type="dxa"/>
          </w:tcPr>
          <w:p w14:paraId="162EEEF2" w14:textId="77777777"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Technique</w:t>
            </w:r>
          </w:p>
        </w:tc>
        <w:tc>
          <w:tcPr>
            <w:tcW w:w="2835" w:type="dxa"/>
          </w:tcPr>
          <w:p w14:paraId="219173E9" w14:textId="03247458"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Identification Points</w:t>
            </w:r>
          </w:p>
        </w:tc>
      </w:tr>
      <w:tr w:rsidR="00A73D5E" w:rsidRPr="00EC3B28" w14:paraId="0A3B0A72" w14:textId="77777777" w:rsidTr="00517E9E">
        <w:trPr>
          <w:trHeight w:val="194"/>
        </w:trPr>
        <w:tc>
          <w:tcPr>
            <w:tcW w:w="4928" w:type="dxa"/>
          </w:tcPr>
          <w:p w14:paraId="1A5040E1" w14:textId="305CEF6C"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Chromatography (GC</w:t>
            </w:r>
            <w:r w:rsidR="00BF37FE">
              <w:rPr>
                <w:rFonts w:eastAsia="Calibri"/>
                <w:sz w:val="20"/>
                <w:szCs w:val="20"/>
                <w:lang w:val="nl"/>
              </w:rPr>
              <w:t>,</w:t>
            </w:r>
            <w:r w:rsidRPr="00EC3B28">
              <w:rPr>
                <w:rFonts w:eastAsia="Calibri"/>
                <w:sz w:val="20"/>
                <w:szCs w:val="20"/>
                <w:lang w:val="nl"/>
              </w:rPr>
              <w:t xml:space="preserve"> LC</w:t>
            </w:r>
            <w:r w:rsidR="00BF37FE">
              <w:rPr>
                <w:rFonts w:eastAsia="Calibri"/>
                <w:sz w:val="20"/>
                <w:szCs w:val="20"/>
                <w:lang w:val="nl"/>
              </w:rPr>
              <w:t xml:space="preserve">, </w:t>
            </w:r>
            <w:r w:rsidR="000376D3">
              <w:rPr>
                <w:rFonts w:eastAsia="Calibri"/>
                <w:sz w:val="20"/>
                <w:szCs w:val="20"/>
                <w:lang w:val="nl"/>
              </w:rPr>
              <w:t>SFC, CE</w:t>
            </w:r>
            <w:r w:rsidR="00BF37FE">
              <w:rPr>
                <w:rFonts w:eastAsia="Calibri"/>
                <w:sz w:val="20"/>
                <w:szCs w:val="20"/>
                <w:lang w:val="nl"/>
              </w:rPr>
              <w:t>)</w:t>
            </w:r>
            <w:r w:rsidR="000376D3">
              <w:rPr>
                <w:rFonts w:eastAsia="Calibri"/>
                <w:sz w:val="20"/>
                <w:szCs w:val="20"/>
                <w:lang w:val="nl"/>
              </w:rPr>
              <w:t xml:space="preserve"> </w:t>
            </w:r>
          </w:p>
        </w:tc>
        <w:tc>
          <w:tcPr>
            <w:tcW w:w="2835" w:type="dxa"/>
          </w:tcPr>
          <w:p w14:paraId="13D5C032" w14:textId="77777777"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1</w:t>
            </w:r>
          </w:p>
        </w:tc>
      </w:tr>
      <w:tr w:rsidR="00A73D5E" w:rsidRPr="00EC3B28" w14:paraId="33F3C6EC" w14:textId="77777777" w:rsidTr="00517E9E">
        <w:trPr>
          <w:trHeight w:val="194"/>
        </w:trPr>
        <w:tc>
          <w:tcPr>
            <w:tcW w:w="4928" w:type="dxa"/>
          </w:tcPr>
          <w:p w14:paraId="160C6772" w14:textId="77777777"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LR-MS ion</w:t>
            </w:r>
          </w:p>
        </w:tc>
        <w:tc>
          <w:tcPr>
            <w:tcW w:w="2835" w:type="dxa"/>
          </w:tcPr>
          <w:p w14:paraId="74E94472" w14:textId="77777777"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1</w:t>
            </w:r>
          </w:p>
        </w:tc>
      </w:tr>
      <w:tr w:rsidR="00A73D5E" w:rsidRPr="00EC3B28" w14:paraId="5C38BE47" w14:textId="77777777" w:rsidTr="00517E9E">
        <w:trPr>
          <w:trHeight w:val="207"/>
        </w:trPr>
        <w:tc>
          <w:tcPr>
            <w:tcW w:w="4928" w:type="dxa"/>
          </w:tcPr>
          <w:p w14:paraId="2A2308CD" w14:textId="77777777" w:rsidR="00A73D5E" w:rsidRPr="00EC3B28" w:rsidRDefault="00A73D5E" w:rsidP="00517E9E">
            <w:pPr>
              <w:spacing w:line="276" w:lineRule="auto"/>
              <w:jc w:val="center"/>
              <w:rPr>
                <w:rFonts w:eastAsia="Calibri"/>
                <w:sz w:val="20"/>
                <w:szCs w:val="20"/>
              </w:rPr>
            </w:pPr>
            <w:r w:rsidRPr="00EC3B28">
              <w:rPr>
                <w:rFonts w:eastAsia="Calibri"/>
                <w:sz w:val="20"/>
                <w:szCs w:val="20"/>
              </w:rPr>
              <w:t>Precursor ion selection at &lt;±0.5 Da mass range</w:t>
            </w:r>
          </w:p>
        </w:tc>
        <w:tc>
          <w:tcPr>
            <w:tcW w:w="2835" w:type="dxa"/>
          </w:tcPr>
          <w:p w14:paraId="1D157BBD" w14:textId="77777777" w:rsidR="00A73D5E" w:rsidRPr="00EC3B28" w:rsidRDefault="00A73D5E" w:rsidP="00517E9E">
            <w:pPr>
              <w:spacing w:line="276" w:lineRule="auto"/>
              <w:jc w:val="center"/>
              <w:rPr>
                <w:rFonts w:eastAsia="Calibri"/>
                <w:sz w:val="20"/>
                <w:szCs w:val="20"/>
              </w:rPr>
            </w:pPr>
            <w:r w:rsidRPr="00EC3B28">
              <w:rPr>
                <w:rFonts w:eastAsia="Calibri"/>
                <w:sz w:val="20"/>
                <w:szCs w:val="20"/>
              </w:rPr>
              <w:t>1 (indirect)</w:t>
            </w:r>
          </w:p>
        </w:tc>
      </w:tr>
      <w:tr w:rsidR="00A73D5E" w:rsidRPr="00EC3B28" w14:paraId="73035605" w14:textId="77777777" w:rsidTr="00517E9E">
        <w:trPr>
          <w:trHeight w:val="220"/>
        </w:trPr>
        <w:tc>
          <w:tcPr>
            <w:tcW w:w="4928" w:type="dxa"/>
          </w:tcPr>
          <w:p w14:paraId="07E8819D" w14:textId="77777777" w:rsidR="00A73D5E" w:rsidRPr="00EC3B28" w:rsidRDefault="00A73D5E" w:rsidP="00517E9E">
            <w:pPr>
              <w:spacing w:line="276" w:lineRule="auto"/>
              <w:jc w:val="center"/>
              <w:rPr>
                <w:rFonts w:eastAsia="Calibri"/>
                <w:sz w:val="20"/>
                <w:szCs w:val="20"/>
              </w:rPr>
            </w:pPr>
            <w:r w:rsidRPr="00EC3B28">
              <w:rPr>
                <w:rFonts w:eastAsia="Calibri"/>
                <w:sz w:val="20"/>
                <w:szCs w:val="20"/>
              </w:rPr>
              <w:t>LR-MS</w:t>
            </w:r>
            <w:r w:rsidRPr="00EC3B28">
              <w:rPr>
                <w:rFonts w:eastAsia="Calibri"/>
                <w:sz w:val="20"/>
                <w:szCs w:val="20"/>
                <w:vertAlign w:val="superscript"/>
              </w:rPr>
              <w:t>n</w:t>
            </w:r>
            <w:r w:rsidRPr="00EC3B28">
              <w:rPr>
                <w:rFonts w:eastAsia="Calibri"/>
                <w:sz w:val="20"/>
                <w:szCs w:val="20"/>
              </w:rPr>
              <w:t xml:space="preserve"> product ion</w:t>
            </w:r>
          </w:p>
        </w:tc>
        <w:tc>
          <w:tcPr>
            <w:tcW w:w="2835" w:type="dxa"/>
          </w:tcPr>
          <w:p w14:paraId="7DC11303" w14:textId="77777777" w:rsidR="00A73D5E" w:rsidRPr="00EC3B28" w:rsidRDefault="00A73D5E" w:rsidP="00517E9E">
            <w:pPr>
              <w:spacing w:line="276" w:lineRule="auto"/>
              <w:jc w:val="center"/>
              <w:rPr>
                <w:rFonts w:eastAsia="Calibri"/>
                <w:sz w:val="20"/>
                <w:szCs w:val="20"/>
              </w:rPr>
            </w:pPr>
            <w:r w:rsidRPr="00EC3B28">
              <w:rPr>
                <w:rFonts w:eastAsia="Calibri"/>
                <w:sz w:val="20"/>
                <w:szCs w:val="20"/>
              </w:rPr>
              <w:t>1.5</w:t>
            </w:r>
          </w:p>
        </w:tc>
      </w:tr>
      <w:tr w:rsidR="00A73D5E" w:rsidRPr="00EC3B28" w14:paraId="442B6F29" w14:textId="77777777" w:rsidTr="00517E9E">
        <w:trPr>
          <w:trHeight w:val="207"/>
        </w:trPr>
        <w:tc>
          <w:tcPr>
            <w:tcW w:w="4928" w:type="dxa"/>
          </w:tcPr>
          <w:p w14:paraId="6207E870" w14:textId="289009D8" w:rsidR="00A73D5E" w:rsidRPr="00EC3B28" w:rsidRDefault="00A73D5E" w:rsidP="00517E9E">
            <w:pPr>
              <w:tabs>
                <w:tab w:val="center" w:pos="2098"/>
              </w:tabs>
              <w:spacing w:line="276" w:lineRule="auto"/>
              <w:jc w:val="center"/>
              <w:rPr>
                <w:rFonts w:eastAsia="Calibri"/>
                <w:sz w:val="20"/>
                <w:szCs w:val="20"/>
              </w:rPr>
            </w:pPr>
            <w:r w:rsidRPr="00EC3B28">
              <w:rPr>
                <w:rFonts w:eastAsia="Calibri"/>
                <w:sz w:val="20"/>
                <w:szCs w:val="20"/>
              </w:rPr>
              <w:t>HR-MS ion</w:t>
            </w:r>
          </w:p>
        </w:tc>
        <w:tc>
          <w:tcPr>
            <w:tcW w:w="2835" w:type="dxa"/>
          </w:tcPr>
          <w:p w14:paraId="646CFCCF" w14:textId="77777777" w:rsidR="00A73D5E" w:rsidRPr="00EC3B28" w:rsidRDefault="00A73D5E" w:rsidP="00517E9E">
            <w:pPr>
              <w:spacing w:line="276" w:lineRule="auto"/>
              <w:jc w:val="center"/>
              <w:rPr>
                <w:rFonts w:eastAsia="Calibri"/>
                <w:sz w:val="20"/>
                <w:szCs w:val="20"/>
              </w:rPr>
            </w:pPr>
            <w:r w:rsidRPr="00EC3B28">
              <w:rPr>
                <w:rFonts w:eastAsia="Calibri"/>
                <w:sz w:val="20"/>
                <w:szCs w:val="20"/>
              </w:rPr>
              <w:t>1.5</w:t>
            </w:r>
          </w:p>
        </w:tc>
      </w:tr>
      <w:tr w:rsidR="00A73D5E" w:rsidRPr="00EC3B28" w14:paraId="7D495DF2" w14:textId="77777777" w:rsidTr="00517E9E">
        <w:trPr>
          <w:trHeight w:val="181"/>
        </w:trPr>
        <w:tc>
          <w:tcPr>
            <w:tcW w:w="4928" w:type="dxa"/>
          </w:tcPr>
          <w:p w14:paraId="51544931" w14:textId="77777777"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HR-MS</w:t>
            </w:r>
            <w:r w:rsidRPr="00EC3B28">
              <w:rPr>
                <w:rFonts w:eastAsia="Calibri"/>
                <w:sz w:val="20"/>
                <w:szCs w:val="20"/>
                <w:vertAlign w:val="superscript"/>
                <w:lang w:val="nl"/>
              </w:rPr>
              <w:t>n</w:t>
            </w:r>
            <w:r w:rsidRPr="00EC3B28">
              <w:rPr>
                <w:rFonts w:eastAsia="Calibri"/>
                <w:sz w:val="20"/>
                <w:szCs w:val="20"/>
                <w:lang w:val="nl"/>
              </w:rPr>
              <w:t xml:space="preserve"> product ion</w:t>
            </w:r>
          </w:p>
        </w:tc>
        <w:tc>
          <w:tcPr>
            <w:tcW w:w="2835" w:type="dxa"/>
          </w:tcPr>
          <w:p w14:paraId="2988B9B7" w14:textId="77777777" w:rsidR="00A73D5E" w:rsidRPr="00EC3B28" w:rsidRDefault="00A73D5E" w:rsidP="00517E9E">
            <w:pPr>
              <w:spacing w:line="276" w:lineRule="auto"/>
              <w:jc w:val="center"/>
              <w:rPr>
                <w:rFonts w:eastAsia="Calibri"/>
                <w:sz w:val="20"/>
                <w:szCs w:val="20"/>
                <w:lang w:val="nl"/>
              </w:rPr>
            </w:pPr>
            <w:r w:rsidRPr="00EC3B28">
              <w:rPr>
                <w:rFonts w:eastAsia="Calibri"/>
                <w:sz w:val="20"/>
                <w:szCs w:val="20"/>
                <w:lang w:val="nl"/>
              </w:rPr>
              <w:t>2.5</w:t>
            </w:r>
          </w:p>
        </w:tc>
      </w:tr>
    </w:tbl>
    <w:p w14:paraId="02A5FD29" w14:textId="77777777" w:rsidR="00A73D5E" w:rsidRPr="00EC3B28" w:rsidRDefault="00A73D5E" w:rsidP="00A73D5E">
      <w:pPr>
        <w:rPr>
          <w:b/>
          <w:sz w:val="20"/>
          <w:szCs w:val="20"/>
        </w:rPr>
      </w:pPr>
    </w:p>
    <w:p w14:paraId="34EDC544" w14:textId="77777777" w:rsidR="00A73D5E" w:rsidRPr="00EC3B28" w:rsidRDefault="00A73D5E" w:rsidP="00A73D5E">
      <w:pPr>
        <w:rPr>
          <w:rFonts w:eastAsiaTheme="minorEastAsia"/>
          <w:sz w:val="20"/>
          <w:szCs w:val="20"/>
        </w:rPr>
      </w:pPr>
      <w:r w:rsidRPr="00EC3B28">
        <w:rPr>
          <w:rFonts w:eastAsiaTheme="minorEastAsia"/>
          <w:b/>
          <w:sz w:val="20"/>
          <w:szCs w:val="20"/>
        </w:rPr>
        <w:t>Table 4.</w:t>
      </w:r>
      <w:r w:rsidRPr="00EC3B28">
        <w:rPr>
          <w:rFonts w:eastAsiaTheme="minorEastAsia"/>
          <w:sz w:val="20"/>
          <w:szCs w:val="20"/>
        </w:rPr>
        <w:t xml:space="preserve"> Examples of the number of identification points specific techniques and combinations of techniques (n = an integer) </w:t>
      </w:r>
    </w:p>
    <w:tbl>
      <w:tblPr>
        <w:tblStyle w:val="Grilledetableauclaire1"/>
        <w:tblW w:w="0" w:type="auto"/>
        <w:tblLook w:val="06A0" w:firstRow="1" w:lastRow="0" w:firstColumn="1" w:lastColumn="0" w:noHBand="1" w:noVBand="1"/>
      </w:tblPr>
      <w:tblGrid>
        <w:gridCol w:w="2671"/>
        <w:gridCol w:w="1212"/>
        <w:gridCol w:w="3434"/>
        <w:gridCol w:w="1970"/>
      </w:tblGrid>
      <w:tr w:rsidR="004926D6" w:rsidRPr="00EC3B28" w14:paraId="6C068A95" w14:textId="77777777" w:rsidTr="004926D6">
        <w:trPr>
          <w:trHeight w:val="57"/>
        </w:trPr>
        <w:tc>
          <w:tcPr>
            <w:tcW w:w="9289" w:type="dxa"/>
            <w:gridSpan w:val="4"/>
          </w:tcPr>
          <w:p w14:paraId="0A21406C" w14:textId="77777777" w:rsidR="004926D6" w:rsidRDefault="004926D6" w:rsidP="004926D6">
            <w:pPr>
              <w:spacing w:line="276" w:lineRule="auto"/>
              <w:jc w:val="center"/>
              <w:rPr>
                <w:rFonts w:eastAsiaTheme="minorEastAsia"/>
                <w:b/>
                <w:sz w:val="20"/>
                <w:szCs w:val="20"/>
                <w:lang w:val="en-US"/>
              </w:rPr>
            </w:pPr>
            <w:r w:rsidRPr="00EC3B28">
              <w:rPr>
                <w:rFonts w:eastAsiaTheme="minorEastAsia"/>
                <w:b/>
                <w:sz w:val="20"/>
                <w:szCs w:val="20"/>
                <w:lang w:val="en-US"/>
              </w:rPr>
              <w:t>Table 4</w:t>
            </w:r>
          </w:p>
          <w:p w14:paraId="7BE71B12" w14:textId="304F50EB" w:rsidR="00EC3B28" w:rsidRPr="002F054B" w:rsidRDefault="00EC3B28" w:rsidP="00EC3B28">
            <w:pPr>
              <w:spacing w:line="276" w:lineRule="auto"/>
              <w:jc w:val="center"/>
              <w:rPr>
                <w:rFonts w:eastAsiaTheme="minorEastAsia"/>
                <w:b/>
                <w:sz w:val="20"/>
                <w:szCs w:val="20"/>
                <w:lang w:val="en-US"/>
              </w:rPr>
            </w:pPr>
            <w:r w:rsidRPr="00EC3B28">
              <w:rPr>
                <w:rFonts w:eastAsiaTheme="minorEastAsia"/>
                <w:sz w:val="20"/>
                <w:szCs w:val="20"/>
              </w:rPr>
              <w:t xml:space="preserve"> </w:t>
            </w:r>
            <w:r w:rsidRPr="002F054B">
              <w:rPr>
                <w:rFonts w:eastAsiaTheme="minorEastAsia"/>
                <w:b/>
                <w:sz w:val="20"/>
                <w:szCs w:val="20"/>
              </w:rPr>
              <w:t xml:space="preserve">Examples of the number of identification points </w:t>
            </w:r>
            <w:r w:rsidR="005F04CA">
              <w:rPr>
                <w:rFonts w:eastAsiaTheme="minorEastAsia"/>
                <w:b/>
                <w:sz w:val="20"/>
                <w:szCs w:val="20"/>
              </w:rPr>
              <w:t xml:space="preserve">obtained for </w:t>
            </w:r>
            <w:r w:rsidRPr="002F054B">
              <w:rPr>
                <w:rFonts w:eastAsiaTheme="minorEastAsia"/>
                <w:b/>
                <w:sz w:val="20"/>
                <w:szCs w:val="20"/>
              </w:rPr>
              <w:t>specific techniques and combinations of techniques (n = an integer)</w:t>
            </w:r>
          </w:p>
        </w:tc>
      </w:tr>
      <w:tr w:rsidR="00A73D5E" w:rsidRPr="00EC3B28" w14:paraId="2E586336" w14:textId="77777777" w:rsidTr="004926D6">
        <w:trPr>
          <w:trHeight w:val="120"/>
        </w:trPr>
        <w:tc>
          <w:tcPr>
            <w:tcW w:w="2672" w:type="dxa"/>
          </w:tcPr>
          <w:p w14:paraId="20B5A477" w14:textId="77777777" w:rsidR="00A73D5E" w:rsidRPr="00EC3B28" w:rsidRDefault="00A73D5E" w:rsidP="001545FE">
            <w:pPr>
              <w:spacing w:line="276" w:lineRule="auto"/>
              <w:rPr>
                <w:rFonts w:eastAsiaTheme="minorEastAsia"/>
                <w:sz w:val="20"/>
                <w:szCs w:val="20"/>
                <w:lang w:val="en-US"/>
              </w:rPr>
            </w:pPr>
            <w:r w:rsidRPr="00EC3B28">
              <w:rPr>
                <w:rFonts w:eastAsiaTheme="minorEastAsia"/>
                <w:sz w:val="20"/>
                <w:szCs w:val="20"/>
                <w:lang w:val="en-US"/>
              </w:rPr>
              <w:t>Technique(s)</w:t>
            </w:r>
          </w:p>
        </w:tc>
        <w:tc>
          <w:tcPr>
            <w:tcW w:w="1212" w:type="dxa"/>
          </w:tcPr>
          <w:p w14:paraId="73731CC7" w14:textId="77777777" w:rsidR="00A73D5E" w:rsidRPr="00EC3B28" w:rsidRDefault="00A73D5E" w:rsidP="001545FE">
            <w:pPr>
              <w:spacing w:line="276" w:lineRule="auto"/>
              <w:rPr>
                <w:rFonts w:eastAsiaTheme="minorEastAsia"/>
                <w:sz w:val="20"/>
                <w:szCs w:val="20"/>
                <w:lang w:val="en-US"/>
              </w:rPr>
            </w:pPr>
            <w:r w:rsidRPr="00EC3B28">
              <w:rPr>
                <w:rFonts w:eastAsiaTheme="minorEastAsia"/>
                <w:sz w:val="20"/>
                <w:szCs w:val="20"/>
                <w:lang w:val="en-US"/>
              </w:rPr>
              <w:t>Separation</w:t>
            </w:r>
          </w:p>
        </w:tc>
        <w:tc>
          <w:tcPr>
            <w:tcW w:w="3435" w:type="dxa"/>
          </w:tcPr>
          <w:p w14:paraId="2223FD4C" w14:textId="77777777" w:rsidR="00A73D5E" w:rsidRPr="00EC3B28" w:rsidRDefault="00A73D5E" w:rsidP="001545FE">
            <w:pPr>
              <w:spacing w:line="276" w:lineRule="auto"/>
              <w:rPr>
                <w:rFonts w:eastAsiaTheme="minorEastAsia"/>
                <w:sz w:val="20"/>
                <w:szCs w:val="20"/>
                <w:lang w:val="en-US"/>
              </w:rPr>
            </w:pPr>
            <w:r w:rsidRPr="00EC3B28">
              <w:rPr>
                <w:rFonts w:eastAsiaTheme="minorEastAsia"/>
                <w:sz w:val="20"/>
                <w:szCs w:val="20"/>
                <w:lang w:val="en-US"/>
              </w:rPr>
              <w:t>Number of ions</w:t>
            </w:r>
          </w:p>
        </w:tc>
        <w:tc>
          <w:tcPr>
            <w:tcW w:w="1970" w:type="dxa"/>
          </w:tcPr>
          <w:p w14:paraId="59B921F4" w14:textId="69DC0F38" w:rsidR="00A73D5E" w:rsidRPr="00EC3B28" w:rsidRDefault="00A73D5E" w:rsidP="00E01501">
            <w:pPr>
              <w:spacing w:line="276" w:lineRule="auto"/>
              <w:rPr>
                <w:rFonts w:eastAsiaTheme="minorEastAsia"/>
                <w:sz w:val="20"/>
                <w:szCs w:val="20"/>
                <w:lang w:val="en-US"/>
              </w:rPr>
            </w:pPr>
            <w:r w:rsidRPr="00EC3B28">
              <w:rPr>
                <w:rFonts w:eastAsiaTheme="minorEastAsia"/>
                <w:sz w:val="20"/>
                <w:szCs w:val="20"/>
                <w:lang w:val="en-US"/>
              </w:rPr>
              <w:t>I</w:t>
            </w:r>
            <w:r w:rsidR="005F04CA">
              <w:rPr>
                <w:rFonts w:eastAsiaTheme="minorEastAsia"/>
                <w:sz w:val="20"/>
                <w:szCs w:val="20"/>
                <w:lang w:val="en-US"/>
              </w:rPr>
              <w:t xml:space="preserve">dentification </w:t>
            </w:r>
            <w:r w:rsidR="00E01501">
              <w:rPr>
                <w:rFonts w:eastAsiaTheme="minorEastAsia"/>
                <w:sz w:val="20"/>
                <w:szCs w:val="20"/>
                <w:lang w:val="en-US"/>
              </w:rPr>
              <w:t>p</w:t>
            </w:r>
            <w:r w:rsidR="005F04CA">
              <w:rPr>
                <w:rFonts w:eastAsiaTheme="minorEastAsia"/>
                <w:sz w:val="20"/>
                <w:szCs w:val="20"/>
                <w:lang w:val="en-US"/>
              </w:rPr>
              <w:t>oints</w:t>
            </w:r>
          </w:p>
        </w:tc>
      </w:tr>
      <w:tr w:rsidR="00A73D5E" w:rsidRPr="00EC3B28" w14:paraId="23073036" w14:textId="77777777" w:rsidTr="004926D6">
        <w:trPr>
          <w:trHeight w:val="120"/>
        </w:trPr>
        <w:tc>
          <w:tcPr>
            <w:tcW w:w="2672" w:type="dxa"/>
          </w:tcPr>
          <w:p w14:paraId="0FE2D2BB"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GC-MS (EI or CI)</w:t>
            </w:r>
          </w:p>
        </w:tc>
        <w:tc>
          <w:tcPr>
            <w:tcW w:w="1212" w:type="dxa"/>
          </w:tcPr>
          <w:p w14:paraId="0BBB07AF"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w:t>
            </w:r>
          </w:p>
        </w:tc>
        <w:tc>
          <w:tcPr>
            <w:tcW w:w="3435" w:type="dxa"/>
          </w:tcPr>
          <w:p w14:paraId="21227D72"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n</w:t>
            </w:r>
          </w:p>
        </w:tc>
        <w:tc>
          <w:tcPr>
            <w:tcW w:w="1970" w:type="dxa"/>
          </w:tcPr>
          <w:p w14:paraId="43335315" w14:textId="77777777" w:rsidR="00A73D5E" w:rsidRPr="00EC3B28" w:rsidRDefault="00A73D5E" w:rsidP="001545FE">
            <w:pPr>
              <w:spacing w:line="276" w:lineRule="auto"/>
              <w:ind w:left="57"/>
              <w:rPr>
                <w:rFonts w:eastAsiaTheme="minorEastAsia"/>
                <w:sz w:val="20"/>
                <w:szCs w:val="20"/>
                <w:lang w:val="en-US"/>
              </w:rPr>
            </w:pPr>
            <w:r w:rsidRPr="00EC3B28">
              <w:rPr>
                <w:rFonts w:eastAsiaTheme="minorEastAsia"/>
                <w:sz w:val="20"/>
                <w:szCs w:val="20"/>
                <w:lang w:val="en-US"/>
              </w:rPr>
              <w:t>1+n</w:t>
            </w:r>
          </w:p>
        </w:tc>
      </w:tr>
      <w:tr w:rsidR="00A73D5E" w:rsidRPr="00EC3B28" w14:paraId="6CB8ABEF" w14:textId="77777777" w:rsidTr="004926D6">
        <w:trPr>
          <w:trHeight w:val="120"/>
        </w:trPr>
        <w:tc>
          <w:tcPr>
            <w:tcW w:w="2672" w:type="dxa"/>
          </w:tcPr>
          <w:p w14:paraId="65D14A74"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GC-MS (EI and CI)</w:t>
            </w:r>
          </w:p>
        </w:tc>
        <w:tc>
          <w:tcPr>
            <w:tcW w:w="1212" w:type="dxa"/>
          </w:tcPr>
          <w:p w14:paraId="29221EE1"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w:t>
            </w:r>
          </w:p>
        </w:tc>
        <w:tc>
          <w:tcPr>
            <w:tcW w:w="3435" w:type="dxa"/>
          </w:tcPr>
          <w:p w14:paraId="1D07764E" w14:textId="77777777" w:rsidR="00A73D5E" w:rsidRPr="00EC3B28" w:rsidRDefault="00A73D5E" w:rsidP="001545FE">
            <w:pPr>
              <w:spacing w:line="276" w:lineRule="auto"/>
              <w:ind w:left="57"/>
              <w:rPr>
                <w:rFonts w:eastAsiaTheme="minorEastAsia"/>
                <w:sz w:val="20"/>
                <w:szCs w:val="20"/>
                <w:lang w:val="en-US"/>
              </w:rPr>
            </w:pPr>
            <w:r w:rsidRPr="00EC3B28">
              <w:rPr>
                <w:rFonts w:eastAsiaTheme="minorEastAsia"/>
                <w:sz w:val="20"/>
                <w:szCs w:val="20"/>
                <w:lang w:val="en-US"/>
              </w:rPr>
              <w:t>2 (EI) + 2 (CI)</w:t>
            </w:r>
          </w:p>
        </w:tc>
        <w:tc>
          <w:tcPr>
            <w:tcW w:w="1970" w:type="dxa"/>
          </w:tcPr>
          <w:p w14:paraId="42525CA3" w14:textId="77777777" w:rsidR="00A73D5E" w:rsidRPr="00EC3B28" w:rsidRDefault="00A73D5E" w:rsidP="001545FE">
            <w:pPr>
              <w:spacing w:line="276" w:lineRule="auto"/>
              <w:ind w:left="57"/>
              <w:rPr>
                <w:rFonts w:eastAsiaTheme="minorEastAsia"/>
                <w:sz w:val="20"/>
                <w:szCs w:val="20"/>
                <w:lang w:val="en-US"/>
              </w:rPr>
            </w:pPr>
            <w:r w:rsidRPr="00EC3B28">
              <w:rPr>
                <w:rFonts w:eastAsiaTheme="minorEastAsia"/>
                <w:sz w:val="20"/>
                <w:szCs w:val="20"/>
                <w:lang w:val="en-US"/>
              </w:rPr>
              <w:t>1+4 = 5</w:t>
            </w:r>
          </w:p>
        </w:tc>
      </w:tr>
      <w:tr w:rsidR="00A73D5E" w:rsidRPr="00EC3B28" w14:paraId="0EB58B72" w14:textId="77777777" w:rsidTr="004926D6">
        <w:trPr>
          <w:trHeight w:val="120"/>
        </w:trPr>
        <w:tc>
          <w:tcPr>
            <w:tcW w:w="2672" w:type="dxa"/>
          </w:tcPr>
          <w:p w14:paraId="03A8DE0C"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GC-MS (EI or CI) 2 derivates</w:t>
            </w:r>
          </w:p>
        </w:tc>
        <w:tc>
          <w:tcPr>
            <w:tcW w:w="1212" w:type="dxa"/>
          </w:tcPr>
          <w:p w14:paraId="005B2D55"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w:t>
            </w:r>
          </w:p>
        </w:tc>
        <w:tc>
          <w:tcPr>
            <w:tcW w:w="3435" w:type="dxa"/>
          </w:tcPr>
          <w:p w14:paraId="44E6C77B"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2 (Derivate A) + 2 (Derivate B)</w:t>
            </w:r>
          </w:p>
        </w:tc>
        <w:tc>
          <w:tcPr>
            <w:tcW w:w="1970" w:type="dxa"/>
          </w:tcPr>
          <w:p w14:paraId="647F9CF7"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1+4 = 5</w:t>
            </w:r>
          </w:p>
        </w:tc>
      </w:tr>
      <w:tr w:rsidR="00A73D5E" w:rsidRPr="00EC3B28" w14:paraId="71AC11D4" w14:textId="77777777" w:rsidTr="004926D6">
        <w:trPr>
          <w:trHeight w:val="120"/>
        </w:trPr>
        <w:tc>
          <w:tcPr>
            <w:tcW w:w="2672" w:type="dxa"/>
          </w:tcPr>
          <w:p w14:paraId="65B3547A"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LC-MS</w:t>
            </w:r>
          </w:p>
        </w:tc>
        <w:tc>
          <w:tcPr>
            <w:tcW w:w="1212" w:type="dxa"/>
          </w:tcPr>
          <w:p w14:paraId="2BBCB1C6"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LC</w:t>
            </w:r>
          </w:p>
        </w:tc>
        <w:tc>
          <w:tcPr>
            <w:tcW w:w="3435" w:type="dxa"/>
          </w:tcPr>
          <w:p w14:paraId="00FCD086"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n (MS)</w:t>
            </w:r>
          </w:p>
        </w:tc>
        <w:tc>
          <w:tcPr>
            <w:tcW w:w="1970" w:type="dxa"/>
          </w:tcPr>
          <w:p w14:paraId="7DD8651D"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1+n</w:t>
            </w:r>
          </w:p>
        </w:tc>
      </w:tr>
      <w:tr w:rsidR="00A73D5E" w:rsidRPr="00EC3B28" w14:paraId="0C571F2B" w14:textId="77777777" w:rsidTr="004926D6">
        <w:trPr>
          <w:trHeight w:val="120"/>
        </w:trPr>
        <w:tc>
          <w:tcPr>
            <w:tcW w:w="2672" w:type="dxa"/>
          </w:tcPr>
          <w:p w14:paraId="7134E6FA"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LC-MS/MS</w:t>
            </w:r>
          </w:p>
        </w:tc>
        <w:tc>
          <w:tcPr>
            <w:tcW w:w="1212" w:type="dxa"/>
          </w:tcPr>
          <w:p w14:paraId="158DF37E"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w:t>
            </w:r>
          </w:p>
        </w:tc>
        <w:tc>
          <w:tcPr>
            <w:tcW w:w="3435" w:type="dxa"/>
          </w:tcPr>
          <w:p w14:paraId="01C2E731"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1 precursor + 2 products</w:t>
            </w:r>
          </w:p>
        </w:tc>
        <w:tc>
          <w:tcPr>
            <w:tcW w:w="1970" w:type="dxa"/>
          </w:tcPr>
          <w:p w14:paraId="2D2C020B" w14:textId="19AAAE77" w:rsidR="00A73D5E" w:rsidRPr="00EC3B28" w:rsidRDefault="00A73D5E" w:rsidP="009A2059">
            <w:pPr>
              <w:spacing w:line="276" w:lineRule="auto"/>
              <w:ind w:left="57"/>
              <w:rPr>
                <w:rFonts w:eastAsiaTheme="minorEastAsia"/>
                <w:sz w:val="20"/>
                <w:szCs w:val="20"/>
                <w:lang w:val="nl"/>
              </w:rPr>
            </w:pPr>
            <w:r w:rsidRPr="00EC3B28">
              <w:rPr>
                <w:rFonts w:eastAsiaTheme="minorEastAsia"/>
                <w:sz w:val="20"/>
                <w:szCs w:val="20"/>
                <w:lang w:val="nl"/>
              </w:rPr>
              <w:t>1 + 1 + 2</w:t>
            </w:r>
            <w:r w:rsidR="009A2059">
              <w:rPr>
                <w:rFonts w:eastAsiaTheme="minorEastAsia"/>
                <w:sz w:val="20"/>
                <w:szCs w:val="20"/>
                <w:lang w:val="nl"/>
              </w:rPr>
              <w:t>×</w:t>
            </w:r>
            <w:r w:rsidRPr="00EC3B28">
              <w:rPr>
                <w:rFonts w:eastAsiaTheme="minorEastAsia"/>
                <w:sz w:val="20"/>
                <w:szCs w:val="20"/>
                <w:lang w:val="nl"/>
              </w:rPr>
              <w:t>1.5 = 5</w:t>
            </w:r>
          </w:p>
        </w:tc>
      </w:tr>
      <w:tr w:rsidR="00A73D5E" w:rsidRPr="00EC3B28" w14:paraId="42B6E3B6" w14:textId="77777777" w:rsidTr="004926D6">
        <w:trPr>
          <w:trHeight w:val="120"/>
        </w:trPr>
        <w:tc>
          <w:tcPr>
            <w:tcW w:w="2672" w:type="dxa"/>
          </w:tcPr>
          <w:p w14:paraId="05535D76"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LC-MS/MS</w:t>
            </w:r>
          </w:p>
        </w:tc>
        <w:tc>
          <w:tcPr>
            <w:tcW w:w="1212" w:type="dxa"/>
          </w:tcPr>
          <w:p w14:paraId="6A352B1E"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w:t>
            </w:r>
          </w:p>
        </w:tc>
        <w:tc>
          <w:tcPr>
            <w:tcW w:w="3435" w:type="dxa"/>
          </w:tcPr>
          <w:p w14:paraId="14C40108"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2 precursor + 2 products</w:t>
            </w:r>
          </w:p>
        </w:tc>
        <w:tc>
          <w:tcPr>
            <w:tcW w:w="1970" w:type="dxa"/>
          </w:tcPr>
          <w:p w14:paraId="3E684F4C" w14:textId="4D77652F" w:rsidR="00A73D5E" w:rsidRPr="00EC3B28" w:rsidRDefault="00A73D5E" w:rsidP="009A2059">
            <w:pPr>
              <w:spacing w:line="276" w:lineRule="auto"/>
              <w:ind w:left="57"/>
              <w:rPr>
                <w:rFonts w:eastAsiaTheme="minorEastAsia"/>
                <w:sz w:val="20"/>
                <w:szCs w:val="20"/>
                <w:lang w:val="nl"/>
              </w:rPr>
            </w:pPr>
            <w:r w:rsidRPr="00EC3B28">
              <w:rPr>
                <w:rFonts w:eastAsiaTheme="minorEastAsia"/>
                <w:sz w:val="20"/>
                <w:szCs w:val="20"/>
                <w:lang w:val="nl"/>
              </w:rPr>
              <w:t>1 + 2 + 2</w:t>
            </w:r>
            <w:r w:rsidR="009A2059">
              <w:rPr>
                <w:rFonts w:eastAsiaTheme="minorEastAsia"/>
                <w:sz w:val="20"/>
                <w:szCs w:val="20"/>
                <w:lang w:val="nl"/>
              </w:rPr>
              <w:t>×</w:t>
            </w:r>
            <w:r w:rsidRPr="00EC3B28">
              <w:rPr>
                <w:rFonts w:eastAsiaTheme="minorEastAsia"/>
                <w:sz w:val="20"/>
                <w:szCs w:val="20"/>
                <w:lang w:val="nl"/>
              </w:rPr>
              <w:t>1.</w:t>
            </w:r>
            <w:r w:rsidRPr="00EC3B28">
              <w:rPr>
                <w:rFonts w:eastAsiaTheme="minorEastAsia"/>
                <w:sz w:val="20"/>
                <w:szCs w:val="20"/>
              </w:rPr>
              <w:t xml:space="preserve">5 </w:t>
            </w:r>
            <w:r w:rsidRPr="00EC3B28">
              <w:rPr>
                <w:rFonts w:eastAsiaTheme="minorEastAsia"/>
                <w:sz w:val="20"/>
                <w:szCs w:val="20"/>
                <w:lang w:val="nl"/>
              </w:rPr>
              <w:t>= 6</w:t>
            </w:r>
          </w:p>
        </w:tc>
      </w:tr>
      <w:tr w:rsidR="00A73D5E" w:rsidRPr="00EC3B28" w14:paraId="74D4FF6A" w14:textId="77777777" w:rsidTr="004926D6">
        <w:trPr>
          <w:trHeight w:val="120"/>
        </w:trPr>
        <w:tc>
          <w:tcPr>
            <w:tcW w:w="2672" w:type="dxa"/>
          </w:tcPr>
          <w:p w14:paraId="7D4A936E" w14:textId="77777777" w:rsidR="00A73D5E" w:rsidRPr="00EC3B28" w:rsidRDefault="00A73D5E" w:rsidP="001545FE">
            <w:pPr>
              <w:spacing w:line="276" w:lineRule="auto"/>
              <w:ind w:left="57"/>
              <w:rPr>
                <w:rFonts w:eastAsiaTheme="minorEastAsia"/>
                <w:sz w:val="20"/>
                <w:szCs w:val="20"/>
                <w:vertAlign w:val="superscript"/>
                <w:lang w:val="nl"/>
              </w:rPr>
            </w:pPr>
            <w:r w:rsidRPr="00EC3B28">
              <w:rPr>
                <w:rFonts w:eastAsiaTheme="minorEastAsia"/>
                <w:sz w:val="20"/>
                <w:szCs w:val="20"/>
                <w:lang w:val="nl"/>
              </w:rPr>
              <w:t>GC- or LC-MS</w:t>
            </w:r>
            <w:r w:rsidRPr="00EC3B28">
              <w:rPr>
                <w:rFonts w:eastAsiaTheme="minorEastAsia"/>
                <w:sz w:val="20"/>
                <w:szCs w:val="20"/>
                <w:vertAlign w:val="superscript"/>
                <w:lang w:val="nl"/>
              </w:rPr>
              <w:t>3</w:t>
            </w:r>
          </w:p>
        </w:tc>
        <w:tc>
          <w:tcPr>
            <w:tcW w:w="1212" w:type="dxa"/>
          </w:tcPr>
          <w:p w14:paraId="3106ECC1"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w:t>
            </w:r>
          </w:p>
        </w:tc>
        <w:tc>
          <w:tcPr>
            <w:tcW w:w="3435" w:type="dxa"/>
          </w:tcPr>
          <w:p w14:paraId="71B58373"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1 precursor + 1 MS</w:t>
            </w:r>
            <w:r w:rsidRPr="00EC3B28">
              <w:rPr>
                <w:rFonts w:eastAsiaTheme="minorEastAsia"/>
                <w:sz w:val="20"/>
                <w:szCs w:val="20"/>
                <w:vertAlign w:val="superscript"/>
              </w:rPr>
              <w:t>2</w:t>
            </w:r>
            <w:r w:rsidRPr="00EC3B28">
              <w:rPr>
                <w:rFonts w:eastAsiaTheme="minorEastAsia"/>
                <w:sz w:val="20"/>
                <w:szCs w:val="20"/>
              </w:rPr>
              <w:t xml:space="preserve"> product + 1 MS</w:t>
            </w:r>
            <w:r w:rsidRPr="00EC3B28">
              <w:rPr>
                <w:rFonts w:eastAsiaTheme="minorEastAsia"/>
                <w:sz w:val="20"/>
                <w:szCs w:val="20"/>
                <w:vertAlign w:val="superscript"/>
              </w:rPr>
              <w:t>3</w:t>
            </w:r>
            <w:r w:rsidRPr="00EC3B28">
              <w:rPr>
                <w:rFonts w:eastAsiaTheme="minorEastAsia"/>
                <w:sz w:val="20"/>
                <w:szCs w:val="20"/>
              </w:rPr>
              <w:t xml:space="preserve"> </w:t>
            </w:r>
            <w:r w:rsidRPr="00EC3B28">
              <w:rPr>
                <w:rFonts w:eastAsiaTheme="minorEastAsia"/>
                <w:sz w:val="20"/>
                <w:szCs w:val="20"/>
              </w:rPr>
              <w:lastRenderedPageBreak/>
              <w:t>product</w:t>
            </w:r>
          </w:p>
        </w:tc>
        <w:tc>
          <w:tcPr>
            <w:tcW w:w="1970" w:type="dxa"/>
          </w:tcPr>
          <w:p w14:paraId="5B80BCB9"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lastRenderedPageBreak/>
              <w:t>1 + 1 + 1.5 + 1.5 = 5</w:t>
            </w:r>
          </w:p>
        </w:tc>
      </w:tr>
      <w:tr w:rsidR="00A73D5E" w:rsidRPr="00EC3B28" w14:paraId="33928AD8" w14:textId="77777777" w:rsidTr="004926D6">
        <w:trPr>
          <w:trHeight w:val="120"/>
        </w:trPr>
        <w:tc>
          <w:tcPr>
            <w:tcW w:w="2672" w:type="dxa"/>
          </w:tcPr>
          <w:p w14:paraId="2A57692A"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GC- or LC-HRMS</w:t>
            </w:r>
          </w:p>
        </w:tc>
        <w:tc>
          <w:tcPr>
            <w:tcW w:w="1212" w:type="dxa"/>
          </w:tcPr>
          <w:p w14:paraId="766A3A36"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w:t>
            </w:r>
          </w:p>
        </w:tc>
        <w:tc>
          <w:tcPr>
            <w:tcW w:w="3435" w:type="dxa"/>
          </w:tcPr>
          <w:p w14:paraId="64480E2B"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n</w:t>
            </w:r>
          </w:p>
        </w:tc>
        <w:tc>
          <w:tcPr>
            <w:tcW w:w="1970" w:type="dxa"/>
          </w:tcPr>
          <w:p w14:paraId="3B547ED5" w14:textId="6BDD2E59" w:rsidR="00A73D5E" w:rsidRPr="00EC3B28" w:rsidRDefault="00A73D5E" w:rsidP="009A2059">
            <w:pPr>
              <w:spacing w:line="276" w:lineRule="auto"/>
              <w:ind w:left="57"/>
              <w:rPr>
                <w:rFonts w:eastAsiaTheme="minorEastAsia"/>
                <w:sz w:val="20"/>
                <w:szCs w:val="20"/>
              </w:rPr>
            </w:pPr>
            <w:r w:rsidRPr="00EC3B28">
              <w:rPr>
                <w:rFonts w:eastAsiaTheme="minorEastAsia"/>
                <w:sz w:val="20"/>
                <w:szCs w:val="20"/>
              </w:rPr>
              <w:t>1 + n</w:t>
            </w:r>
            <w:r w:rsidR="009A2059">
              <w:rPr>
                <w:rFonts w:eastAsiaTheme="minorEastAsia"/>
                <w:sz w:val="20"/>
                <w:szCs w:val="20"/>
              </w:rPr>
              <w:t>×</w:t>
            </w:r>
            <w:r w:rsidRPr="00EC3B28">
              <w:rPr>
                <w:rFonts w:eastAsiaTheme="minorEastAsia"/>
                <w:sz w:val="20"/>
                <w:szCs w:val="20"/>
              </w:rPr>
              <w:t xml:space="preserve">1.5 </w:t>
            </w:r>
          </w:p>
        </w:tc>
      </w:tr>
      <w:tr w:rsidR="00A73D5E" w:rsidRPr="00EC3B28" w14:paraId="2854A951" w14:textId="77777777" w:rsidTr="004926D6">
        <w:trPr>
          <w:trHeight w:val="250"/>
        </w:trPr>
        <w:tc>
          <w:tcPr>
            <w:tcW w:w="2672" w:type="dxa"/>
          </w:tcPr>
          <w:p w14:paraId="17E555AA"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LC-HRMS/MS</w:t>
            </w:r>
          </w:p>
        </w:tc>
        <w:tc>
          <w:tcPr>
            <w:tcW w:w="1212" w:type="dxa"/>
          </w:tcPr>
          <w:p w14:paraId="54142263"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w:t>
            </w:r>
          </w:p>
        </w:tc>
        <w:tc>
          <w:tcPr>
            <w:tcW w:w="3435" w:type="dxa"/>
          </w:tcPr>
          <w:p w14:paraId="237822AF" w14:textId="77777777" w:rsidR="00A73D5E" w:rsidRPr="00EC3B28" w:rsidRDefault="00A73D5E" w:rsidP="001545FE">
            <w:pPr>
              <w:spacing w:line="276" w:lineRule="auto"/>
              <w:ind w:left="57"/>
              <w:rPr>
                <w:rFonts w:eastAsiaTheme="minorEastAsia"/>
                <w:sz w:val="20"/>
                <w:szCs w:val="20"/>
                <w:lang w:val="pt-PT"/>
              </w:rPr>
            </w:pPr>
            <w:r w:rsidRPr="00EC3B28">
              <w:rPr>
                <w:rFonts w:eastAsiaTheme="minorEastAsia"/>
                <w:sz w:val="20"/>
                <w:szCs w:val="20"/>
                <w:lang w:val="pt-PT"/>
              </w:rPr>
              <w:t xml:space="preserve">1 precursor (&lt;±0.5 Da mass range) + 1 product </w:t>
            </w:r>
          </w:p>
        </w:tc>
        <w:tc>
          <w:tcPr>
            <w:tcW w:w="1970" w:type="dxa"/>
          </w:tcPr>
          <w:p w14:paraId="52D74A92"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1 + 1 + 2.5 = 4.5</w:t>
            </w:r>
          </w:p>
        </w:tc>
      </w:tr>
      <w:tr w:rsidR="00A73D5E" w:rsidRPr="00EC3B28" w14:paraId="0B23CFC7" w14:textId="77777777" w:rsidTr="004926D6">
        <w:trPr>
          <w:trHeight w:val="120"/>
        </w:trPr>
        <w:tc>
          <w:tcPr>
            <w:tcW w:w="2672" w:type="dxa"/>
          </w:tcPr>
          <w:p w14:paraId="52F05FF1"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LC-HRMS and HRMS/MS</w:t>
            </w:r>
          </w:p>
        </w:tc>
        <w:tc>
          <w:tcPr>
            <w:tcW w:w="1212" w:type="dxa"/>
          </w:tcPr>
          <w:p w14:paraId="6A9D8062"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GC or LC</w:t>
            </w:r>
          </w:p>
        </w:tc>
        <w:tc>
          <w:tcPr>
            <w:tcW w:w="3435" w:type="dxa"/>
          </w:tcPr>
          <w:p w14:paraId="375315A8" w14:textId="77777777" w:rsidR="00A73D5E" w:rsidRPr="00EC3B28" w:rsidRDefault="00A73D5E" w:rsidP="001545FE">
            <w:pPr>
              <w:spacing w:line="276" w:lineRule="auto"/>
              <w:ind w:left="57"/>
              <w:rPr>
                <w:rFonts w:eastAsiaTheme="minorEastAsia"/>
                <w:sz w:val="20"/>
                <w:szCs w:val="20"/>
                <w:vertAlign w:val="superscript"/>
              </w:rPr>
            </w:pPr>
            <w:r w:rsidRPr="00EC3B28">
              <w:rPr>
                <w:rFonts w:eastAsiaTheme="minorEastAsia"/>
                <w:sz w:val="20"/>
                <w:szCs w:val="20"/>
              </w:rPr>
              <w:t>1 full scan ion + 1 HRMS product ion</w:t>
            </w:r>
            <w:r w:rsidRPr="00EC3B28">
              <w:rPr>
                <w:rFonts w:eastAsiaTheme="minorEastAsia"/>
                <w:sz w:val="20"/>
                <w:szCs w:val="20"/>
                <w:vertAlign w:val="superscript"/>
              </w:rPr>
              <w:t>a</w:t>
            </w:r>
          </w:p>
        </w:tc>
        <w:tc>
          <w:tcPr>
            <w:tcW w:w="1970" w:type="dxa"/>
          </w:tcPr>
          <w:p w14:paraId="097290A5"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1 + 1.5 + 2.5 = 5</w:t>
            </w:r>
          </w:p>
        </w:tc>
      </w:tr>
      <w:tr w:rsidR="00A73D5E" w:rsidRPr="00EC3B28" w14:paraId="7CB4A0CA" w14:textId="77777777" w:rsidTr="004926D6">
        <w:trPr>
          <w:trHeight w:val="120"/>
        </w:trPr>
        <w:tc>
          <w:tcPr>
            <w:tcW w:w="2672" w:type="dxa"/>
          </w:tcPr>
          <w:p w14:paraId="77E6C3DB"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GC- and LC-MS</w:t>
            </w:r>
          </w:p>
        </w:tc>
        <w:tc>
          <w:tcPr>
            <w:tcW w:w="1212" w:type="dxa"/>
          </w:tcPr>
          <w:p w14:paraId="6AF49C19" w14:textId="77777777" w:rsidR="00A73D5E" w:rsidRPr="00EC3B28" w:rsidRDefault="00A73D5E" w:rsidP="001545FE">
            <w:pPr>
              <w:spacing w:line="276" w:lineRule="auto"/>
              <w:ind w:left="57"/>
              <w:rPr>
                <w:rFonts w:eastAsiaTheme="minorEastAsia"/>
                <w:sz w:val="20"/>
                <w:szCs w:val="20"/>
                <w:lang w:val="nl"/>
              </w:rPr>
            </w:pPr>
            <w:r w:rsidRPr="00EC3B28">
              <w:rPr>
                <w:rFonts w:eastAsiaTheme="minorEastAsia"/>
                <w:sz w:val="20"/>
                <w:szCs w:val="20"/>
                <w:lang w:val="nl"/>
              </w:rPr>
              <w:t>GC and LC</w:t>
            </w:r>
          </w:p>
        </w:tc>
        <w:tc>
          <w:tcPr>
            <w:tcW w:w="3435" w:type="dxa"/>
          </w:tcPr>
          <w:p w14:paraId="45154885" w14:textId="77777777" w:rsidR="00A73D5E" w:rsidRPr="00EC3B28" w:rsidRDefault="00A73D5E" w:rsidP="001545FE">
            <w:pPr>
              <w:spacing w:line="276" w:lineRule="auto"/>
              <w:ind w:left="57"/>
              <w:rPr>
                <w:rFonts w:eastAsiaTheme="minorEastAsia"/>
                <w:sz w:val="20"/>
                <w:szCs w:val="20"/>
              </w:rPr>
            </w:pPr>
            <w:r w:rsidRPr="00EC3B28">
              <w:rPr>
                <w:rFonts w:eastAsiaTheme="minorEastAsia"/>
                <w:sz w:val="20"/>
                <w:szCs w:val="20"/>
              </w:rPr>
              <w:t>2 ions (GCMS) + 1 ion (LCMS)</w:t>
            </w:r>
          </w:p>
        </w:tc>
        <w:tc>
          <w:tcPr>
            <w:tcW w:w="1970" w:type="dxa"/>
          </w:tcPr>
          <w:p w14:paraId="5C8BDD46" w14:textId="2E9B2D31" w:rsidR="00A73D5E" w:rsidRPr="00EC3B28" w:rsidRDefault="00A73D5E" w:rsidP="00F6597B">
            <w:pPr>
              <w:spacing w:line="276" w:lineRule="auto"/>
              <w:ind w:left="57"/>
              <w:rPr>
                <w:rFonts w:eastAsiaTheme="minorEastAsia"/>
                <w:sz w:val="20"/>
                <w:szCs w:val="20"/>
                <w:lang w:val="nl"/>
              </w:rPr>
            </w:pPr>
            <w:r w:rsidRPr="00EC3B28">
              <w:rPr>
                <w:rFonts w:eastAsiaTheme="minorEastAsia"/>
                <w:sz w:val="20"/>
                <w:szCs w:val="20"/>
              </w:rPr>
              <w:t xml:space="preserve">1 + 1 + </w:t>
            </w:r>
            <w:r w:rsidRPr="00EC3B28">
              <w:rPr>
                <w:rFonts w:eastAsiaTheme="minorEastAsia"/>
                <w:sz w:val="20"/>
                <w:szCs w:val="20"/>
                <w:lang w:val="nl"/>
              </w:rPr>
              <w:t xml:space="preserve">2 + 1 + 1 = </w:t>
            </w:r>
            <w:r w:rsidR="00F6597B">
              <w:rPr>
                <w:rFonts w:eastAsiaTheme="minorEastAsia"/>
                <w:sz w:val="20"/>
                <w:szCs w:val="20"/>
                <w:lang w:val="nl"/>
              </w:rPr>
              <w:t>6</w:t>
            </w:r>
          </w:p>
        </w:tc>
      </w:tr>
    </w:tbl>
    <w:p w14:paraId="388967D5" w14:textId="10A2906B" w:rsidR="00A73D5E" w:rsidRDefault="00A73D5E" w:rsidP="00A73D5E">
      <w:pPr>
        <w:rPr>
          <w:rFonts w:eastAsia="Times New Roman"/>
          <w:b/>
          <w:bCs/>
          <w:sz w:val="20"/>
          <w:szCs w:val="20"/>
        </w:rPr>
      </w:pPr>
      <w:r w:rsidRPr="00EC3B28">
        <w:rPr>
          <w:rFonts w:eastAsiaTheme="minorEastAsia"/>
          <w:sz w:val="20"/>
          <w:szCs w:val="20"/>
          <w:vertAlign w:val="superscript"/>
        </w:rPr>
        <w:t>a</w:t>
      </w:r>
      <w:r w:rsidRPr="00EC3B28">
        <w:rPr>
          <w:rFonts w:eastAsiaTheme="minorEastAsia"/>
          <w:sz w:val="20"/>
          <w:szCs w:val="20"/>
        </w:rPr>
        <w:t xml:space="preserve"> No additional identification point is obtained for the precursor ion selection, if this precursor ion is the same ion (or an adduct or isotope) as the HRMS ion monitored in full scan. </w:t>
      </w:r>
      <w:r w:rsidRPr="00EC3B28">
        <w:rPr>
          <w:rFonts w:eastAsia="Times New Roman"/>
          <w:b/>
          <w:bCs/>
          <w:sz w:val="20"/>
          <w:szCs w:val="20"/>
        </w:rPr>
        <w:t xml:space="preserve"> </w:t>
      </w:r>
    </w:p>
    <w:p w14:paraId="0A61395D" w14:textId="77777777" w:rsidR="00A73D5E" w:rsidRPr="00EC3B28" w:rsidRDefault="00A73D5E" w:rsidP="00A73D5E">
      <w:pPr>
        <w:pStyle w:val="Heading3"/>
        <w:rPr>
          <w:rFonts w:ascii="Times New Roman" w:hAnsi="Times New Roman" w:cs="Times New Roman"/>
          <w:color w:val="000000" w:themeColor="text1"/>
          <w:sz w:val="20"/>
          <w:szCs w:val="20"/>
        </w:rPr>
      </w:pPr>
      <w:bookmarkStart w:id="26" w:name="_Toc5193392"/>
      <w:r w:rsidRPr="00EC3B28">
        <w:rPr>
          <w:rFonts w:ascii="Times New Roman" w:hAnsi="Times New Roman" w:cs="Times New Roman"/>
          <w:color w:val="000000" w:themeColor="text1"/>
          <w:sz w:val="20"/>
          <w:szCs w:val="20"/>
        </w:rPr>
        <w:t>1.</w:t>
      </w:r>
      <w:bookmarkStart w:id="27" w:name="_Toc535221036"/>
      <w:r w:rsidRPr="00EC3B28">
        <w:rPr>
          <w:rFonts w:ascii="Times New Roman" w:hAnsi="Times New Roman" w:cs="Times New Roman"/>
          <w:color w:val="000000" w:themeColor="text1"/>
          <w:sz w:val="20"/>
          <w:szCs w:val="20"/>
        </w:rPr>
        <w:t>2.4 Specific performance criteria for the determination of an analyte using liquid chromatography with detection techniques</w:t>
      </w:r>
      <w:bookmarkEnd w:id="27"/>
      <w:r w:rsidRPr="00EC3B28">
        <w:rPr>
          <w:rFonts w:ascii="Times New Roman" w:hAnsi="Times New Roman" w:cs="Times New Roman"/>
          <w:color w:val="000000" w:themeColor="text1"/>
          <w:sz w:val="20"/>
          <w:szCs w:val="20"/>
        </w:rPr>
        <w:t xml:space="preserve"> other than mass spectrometry.</w:t>
      </w:r>
      <w:bookmarkEnd w:id="26"/>
    </w:p>
    <w:p w14:paraId="4EE2563D" w14:textId="77777777" w:rsidR="00A73D5E" w:rsidRPr="00EC3B28" w:rsidRDefault="00A73D5E" w:rsidP="00A73D5E">
      <w:pPr>
        <w:rPr>
          <w:rFonts w:eastAsia="Calibri"/>
          <w:sz w:val="20"/>
          <w:szCs w:val="20"/>
        </w:rPr>
      </w:pPr>
      <w:r w:rsidRPr="00EC3B28">
        <w:rPr>
          <w:rFonts w:eastAsia="Calibri"/>
          <w:sz w:val="20"/>
          <w:szCs w:val="20"/>
        </w:rPr>
        <w:t xml:space="preserve">For authorised pharmacologically active substances only, the following techniques can be used as alternative for mass spectrometry based methods, provided that the relevant criteria for these techniques are fulfilled:  </w:t>
      </w:r>
    </w:p>
    <w:p w14:paraId="5C133781" w14:textId="640A2514" w:rsidR="00A73D5E" w:rsidRPr="009E18CC" w:rsidRDefault="00A73D5E" w:rsidP="009E18CC">
      <w:pPr>
        <w:rPr>
          <w:rFonts w:eastAsia="Calibri"/>
          <w:sz w:val="20"/>
          <w:szCs w:val="20"/>
        </w:rPr>
      </w:pPr>
      <w:r w:rsidRPr="00EC3B28">
        <w:rPr>
          <w:rFonts w:eastAsia="Calibri"/>
          <w:sz w:val="20"/>
          <w:szCs w:val="20"/>
        </w:rPr>
        <w:t>-</w:t>
      </w:r>
      <w:r w:rsidR="00793651">
        <w:rPr>
          <w:rFonts w:eastAsia="Calibri"/>
          <w:sz w:val="20"/>
          <w:szCs w:val="20"/>
        </w:rPr>
        <w:t xml:space="preserve"> </w:t>
      </w:r>
      <w:r w:rsidRPr="00EC3B28">
        <w:rPr>
          <w:rFonts w:eastAsia="Calibri"/>
          <w:sz w:val="20"/>
          <w:szCs w:val="20"/>
        </w:rPr>
        <w:t xml:space="preserve">full-scan diode array spectrophotometry (DAD) </w:t>
      </w:r>
      <w:r w:rsidR="009E18CC">
        <w:rPr>
          <w:rFonts w:eastAsia="Calibri"/>
          <w:sz w:val="20"/>
          <w:szCs w:val="20"/>
        </w:rPr>
        <w:t>in case used in combination with</w:t>
      </w:r>
      <w:r w:rsidR="009E18CC" w:rsidRPr="009E18CC">
        <w:t xml:space="preserve"> </w:t>
      </w:r>
      <w:r w:rsidR="009E18CC" w:rsidRPr="009E18CC">
        <w:rPr>
          <w:rFonts w:eastAsia="Calibri"/>
          <w:sz w:val="20"/>
          <w:szCs w:val="20"/>
        </w:rPr>
        <w:t>HPLC</w:t>
      </w:r>
    </w:p>
    <w:p w14:paraId="6845256E" w14:textId="337AC9BE" w:rsidR="00A73D5E" w:rsidRDefault="00A73D5E" w:rsidP="00A73D5E">
      <w:pPr>
        <w:rPr>
          <w:rFonts w:eastAsia="Calibri"/>
          <w:sz w:val="20"/>
          <w:szCs w:val="20"/>
        </w:rPr>
      </w:pPr>
      <w:r w:rsidRPr="00EC3B28">
        <w:rPr>
          <w:rFonts w:eastAsia="Calibri"/>
          <w:sz w:val="20"/>
          <w:szCs w:val="20"/>
        </w:rPr>
        <w:t>-</w:t>
      </w:r>
      <w:r w:rsidR="00793651">
        <w:rPr>
          <w:rFonts w:eastAsia="Calibri"/>
          <w:sz w:val="20"/>
          <w:szCs w:val="20"/>
        </w:rPr>
        <w:t xml:space="preserve"> </w:t>
      </w:r>
      <w:r w:rsidRPr="00EC3B28">
        <w:rPr>
          <w:rFonts w:eastAsia="Calibri"/>
          <w:sz w:val="20"/>
          <w:szCs w:val="20"/>
        </w:rPr>
        <w:t>fluorescence detection</w:t>
      </w:r>
      <w:r w:rsidR="009E18CC">
        <w:rPr>
          <w:rFonts w:eastAsia="Calibri"/>
          <w:sz w:val="20"/>
          <w:szCs w:val="20"/>
        </w:rPr>
        <w:t xml:space="preserve"> in case used with HPLC</w:t>
      </w:r>
      <w:r w:rsidR="00B4648C">
        <w:rPr>
          <w:rFonts w:eastAsia="Calibri"/>
          <w:sz w:val="20"/>
          <w:szCs w:val="20"/>
        </w:rPr>
        <w:t>.</w:t>
      </w:r>
    </w:p>
    <w:p w14:paraId="3FB9D76F" w14:textId="21820CE8" w:rsidR="00A73D5E" w:rsidRDefault="00A73D5E" w:rsidP="00A73D5E">
      <w:pPr>
        <w:rPr>
          <w:rFonts w:eastAsia="Calibri"/>
          <w:sz w:val="20"/>
          <w:szCs w:val="20"/>
        </w:rPr>
      </w:pPr>
      <w:r w:rsidRPr="00EC3B28">
        <w:rPr>
          <w:rFonts w:eastAsia="Calibri"/>
          <w:sz w:val="20"/>
          <w:szCs w:val="20"/>
        </w:rPr>
        <w:t>Liquid chromatography with UV/VIS detection (single wavelength) is not suitable on its own for use as a confirmatory method.</w:t>
      </w:r>
    </w:p>
    <w:p w14:paraId="578A9B6F" w14:textId="77777777" w:rsidR="00A73D5E" w:rsidRPr="00EC3B28" w:rsidRDefault="00A73D5E" w:rsidP="00A73D5E">
      <w:pPr>
        <w:pStyle w:val="Heading4"/>
        <w:rPr>
          <w:rFonts w:ascii="Times New Roman" w:eastAsiaTheme="minorEastAsia" w:hAnsi="Times New Roman" w:cs="Times New Roman"/>
          <w:b/>
          <w:color w:val="000000" w:themeColor="text1"/>
          <w:sz w:val="20"/>
          <w:szCs w:val="20"/>
        </w:rPr>
      </w:pPr>
      <w:bookmarkStart w:id="28" w:name="_Toc5193393"/>
      <w:r w:rsidRPr="00EC3B28">
        <w:rPr>
          <w:rFonts w:ascii="Times New Roman" w:eastAsiaTheme="minorEastAsia" w:hAnsi="Times New Roman" w:cs="Times New Roman"/>
          <w:b/>
          <w:color w:val="000000" w:themeColor="text1"/>
          <w:sz w:val="20"/>
          <w:szCs w:val="20"/>
        </w:rPr>
        <w:t>1.</w:t>
      </w:r>
      <w:bookmarkStart w:id="29" w:name="_Toc535221037"/>
      <w:r w:rsidRPr="00EC3B28">
        <w:rPr>
          <w:rFonts w:ascii="Times New Roman" w:eastAsiaTheme="minorEastAsia" w:hAnsi="Times New Roman" w:cs="Times New Roman"/>
          <w:b/>
          <w:color w:val="000000" w:themeColor="text1"/>
          <w:sz w:val="20"/>
          <w:szCs w:val="20"/>
        </w:rPr>
        <w:t xml:space="preserve">2.4.1. Performance criteria for Full-scan </w:t>
      </w:r>
      <w:bookmarkEnd w:id="29"/>
      <w:r w:rsidRPr="00EC3B28">
        <w:rPr>
          <w:rFonts w:ascii="Times New Roman" w:eastAsiaTheme="minorEastAsia" w:hAnsi="Times New Roman" w:cs="Times New Roman"/>
          <w:b/>
          <w:color w:val="000000" w:themeColor="text1"/>
          <w:sz w:val="20"/>
          <w:szCs w:val="20"/>
        </w:rPr>
        <w:t>diode array spectrophotometry</w:t>
      </w:r>
      <w:bookmarkEnd w:id="28"/>
    </w:p>
    <w:p w14:paraId="7B79D08E" w14:textId="7FD008B3" w:rsidR="00A73D5E" w:rsidRPr="00EC3B28" w:rsidRDefault="00A73D5E" w:rsidP="00A73D5E">
      <w:pPr>
        <w:rPr>
          <w:rFonts w:eastAsiaTheme="minorEastAsia"/>
          <w:sz w:val="20"/>
          <w:szCs w:val="20"/>
        </w:rPr>
      </w:pPr>
      <w:r w:rsidRPr="00EC3B28">
        <w:rPr>
          <w:rFonts w:eastAsiaTheme="minorEastAsia"/>
          <w:sz w:val="20"/>
          <w:szCs w:val="20"/>
        </w:rPr>
        <w:t>The performance criteria for chromatographic separation included in chapter 1.2.3.1</w:t>
      </w:r>
      <w:r w:rsidRPr="00EC3B28" w:rsidDel="00A6554F">
        <w:rPr>
          <w:rFonts w:eastAsiaTheme="minorEastAsia"/>
          <w:sz w:val="20"/>
          <w:szCs w:val="20"/>
        </w:rPr>
        <w:t xml:space="preserve"> </w:t>
      </w:r>
      <w:r w:rsidRPr="00EC3B28">
        <w:rPr>
          <w:rFonts w:eastAsiaTheme="minorEastAsia"/>
          <w:sz w:val="20"/>
          <w:szCs w:val="20"/>
        </w:rPr>
        <w:t>shall be fulfilled.</w:t>
      </w:r>
    </w:p>
    <w:p w14:paraId="0B42D29F" w14:textId="4E3A83F7" w:rsidR="00A73D5E" w:rsidRPr="00EC3B28" w:rsidRDefault="00A73D5E" w:rsidP="00A73D5E">
      <w:pPr>
        <w:rPr>
          <w:rFonts w:eastAsiaTheme="minorEastAsia"/>
          <w:sz w:val="20"/>
          <w:szCs w:val="20"/>
        </w:rPr>
      </w:pPr>
      <w:r w:rsidRPr="00EC3B28">
        <w:rPr>
          <w:rFonts w:eastAsiaTheme="minorEastAsia"/>
          <w:sz w:val="20"/>
          <w:szCs w:val="20"/>
        </w:rPr>
        <w:t xml:space="preserve">The absorption maxima in the UV spectrum of the analyte shall be at the same wavelengths as those of the calibration standard within a maximum </w:t>
      </w:r>
      <w:r w:rsidR="00B265E2" w:rsidRPr="00EC3B28">
        <w:rPr>
          <w:rFonts w:eastAsiaTheme="minorEastAsia"/>
          <w:sz w:val="20"/>
          <w:szCs w:val="20"/>
        </w:rPr>
        <w:t>margin, which</w:t>
      </w:r>
      <w:r w:rsidRPr="00EC3B28">
        <w:rPr>
          <w:rFonts w:eastAsiaTheme="minorEastAsia"/>
          <w:sz w:val="20"/>
          <w:szCs w:val="20"/>
        </w:rPr>
        <w:t xml:space="preserve"> is determined by the resolution of the detection system. For diode array detection, this maximum margin is typically within ± 2 nm. The spectrum of the analyte above 220 nm shall, for those parts of the two spectra with a relative absorbance greater than or equal to 10 %, not be visibly different from the spectrum of the calibration standard. This criterion is met when firstly the same maxima are present and secondly when the difference between the two spectra is at no point greater than 10 % of the absorbance of the calibration standard. In the case computer-aided </w:t>
      </w:r>
      <w:r w:rsidR="00B265E2" w:rsidRPr="00EC3B28">
        <w:rPr>
          <w:rFonts w:eastAsiaTheme="minorEastAsia"/>
          <w:sz w:val="20"/>
          <w:szCs w:val="20"/>
        </w:rPr>
        <w:t>library,</w:t>
      </w:r>
      <w:r w:rsidRPr="00EC3B28">
        <w:rPr>
          <w:rFonts w:eastAsiaTheme="minorEastAsia"/>
          <w:sz w:val="20"/>
          <w:szCs w:val="20"/>
        </w:rPr>
        <w:t xml:space="preserve"> searching and matching are used, the comparison of the spectral data in the official samples to that of the calibration solution has to exceed a critical match factor. This factor shall be determined during the validation process for every analyte on the basis of spectra for which the criteria described above are fulfilled. Variability in the spectra caused by the sample matrix and the detector performance shall be checked.</w:t>
      </w:r>
    </w:p>
    <w:p w14:paraId="1D96DB21" w14:textId="77777777" w:rsidR="00A73D5E" w:rsidRPr="00EC3B28" w:rsidRDefault="00A73D5E" w:rsidP="00A73D5E">
      <w:pPr>
        <w:pStyle w:val="Heading4"/>
        <w:rPr>
          <w:rFonts w:ascii="Times New Roman" w:eastAsiaTheme="minorEastAsia" w:hAnsi="Times New Roman" w:cs="Times New Roman"/>
          <w:b/>
          <w:color w:val="000000" w:themeColor="text1"/>
          <w:sz w:val="20"/>
          <w:szCs w:val="20"/>
        </w:rPr>
      </w:pPr>
      <w:bookmarkStart w:id="30" w:name="_Toc5193394"/>
      <w:r w:rsidRPr="00EC3B28">
        <w:rPr>
          <w:rFonts w:ascii="Times New Roman" w:eastAsiaTheme="minorEastAsia" w:hAnsi="Times New Roman" w:cs="Times New Roman"/>
          <w:b/>
          <w:color w:val="000000" w:themeColor="text1"/>
          <w:sz w:val="20"/>
          <w:szCs w:val="20"/>
        </w:rPr>
        <w:t>1.</w:t>
      </w:r>
      <w:bookmarkStart w:id="31" w:name="_Toc535221038"/>
      <w:r w:rsidRPr="00EC3B28">
        <w:rPr>
          <w:rFonts w:ascii="Times New Roman" w:eastAsiaTheme="minorEastAsia" w:hAnsi="Times New Roman" w:cs="Times New Roman"/>
          <w:b/>
          <w:color w:val="000000" w:themeColor="text1"/>
          <w:sz w:val="20"/>
          <w:szCs w:val="20"/>
        </w:rPr>
        <w:t>2.4.2. Performance criteria for fluorometric detection</w:t>
      </w:r>
      <w:bookmarkEnd w:id="30"/>
      <w:bookmarkEnd w:id="31"/>
    </w:p>
    <w:p w14:paraId="3F6151C3" w14:textId="77777777" w:rsidR="00A73D5E" w:rsidRPr="00EC3B28" w:rsidRDefault="00A73D5E" w:rsidP="00A73D5E">
      <w:pPr>
        <w:rPr>
          <w:rFonts w:eastAsiaTheme="minorEastAsia"/>
          <w:sz w:val="20"/>
          <w:szCs w:val="20"/>
        </w:rPr>
      </w:pPr>
      <w:r w:rsidRPr="00EC3B28">
        <w:rPr>
          <w:rFonts w:eastAsiaTheme="minorEastAsia"/>
          <w:sz w:val="20"/>
          <w:szCs w:val="20"/>
        </w:rPr>
        <w:t>The performance criteria for chromatographic separation included in chapter 1.2.3.1 shall be fulfilled.</w:t>
      </w:r>
    </w:p>
    <w:p w14:paraId="138A7857" w14:textId="77777777" w:rsidR="00A73D5E" w:rsidRPr="00EC3B28" w:rsidRDefault="00A73D5E" w:rsidP="00A73D5E">
      <w:pPr>
        <w:rPr>
          <w:color w:val="FF0000"/>
          <w:sz w:val="20"/>
          <w:szCs w:val="20"/>
        </w:rPr>
      </w:pPr>
      <w:r w:rsidRPr="00EC3B28">
        <w:rPr>
          <w:rFonts w:eastAsiaTheme="minorEastAsia"/>
          <w:sz w:val="20"/>
          <w:szCs w:val="20"/>
        </w:rPr>
        <w:t>The selection of the excitation and emission wavelengths in combination with the chromatographic conditions shall be done in such a way to minimise the occurrence of interfering components in blank sample extracts</w:t>
      </w:r>
    </w:p>
    <w:p w14:paraId="4237548F" w14:textId="77777777" w:rsidR="00A73D5E" w:rsidRPr="00EC3B28" w:rsidRDefault="00A73D5E" w:rsidP="00A73D5E">
      <w:pPr>
        <w:rPr>
          <w:rFonts w:eastAsiaTheme="minorEastAsia"/>
          <w:sz w:val="20"/>
          <w:szCs w:val="20"/>
        </w:rPr>
      </w:pPr>
      <w:r w:rsidRPr="00EC3B28">
        <w:rPr>
          <w:rFonts w:eastAsiaTheme="minorEastAsia"/>
          <w:sz w:val="20"/>
          <w:szCs w:val="20"/>
        </w:rPr>
        <w:lastRenderedPageBreak/>
        <w:t>The nearest peak maximum in the chromatogram shall be separated from the designated analyte peak by at least one full peak width at 10 % of the maximum height of the analyte peak.</w:t>
      </w:r>
    </w:p>
    <w:p w14:paraId="5FB3B934" w14:textId="77777777" w:rsidR="00A73D5E" w:rsidRPr="00EC3B28" w:rsidRDefault="00A73D5E" w:rsidP="00A73D5E">
      <w:pPr>
        <w:rPr>
          <w:rFonts w:eastAsiaTheme="minorEastAsia"/>
          <w:sz w:val="20"/>
          <w:szCs w:val="20"/>
        </w:rPr>
      </w:pPr>
      <w:r w:rsidRPr="00EC3B28">
        <w:rPr>
          <w:rFonts w:eastAsiaTheme="minorEastAsia"/>
          <w:sz w:val="20"/>
          <w:szCs w:val="20"/>
        </w:rPr>
        <w:t>This applies to molecules that exhibit native fluorescence and to molecules that exhibit fluorescence after either transformation or derivatisation.</w:t>
      </w:r>
    </w:p>
    <w:p w14:paraId="0CD4F622" w14:textId="5C404889" w:rsidR="00A73D5E" w:rsidRPr="0093298D" w:rsidRDefault="00A73D5E" w:rsidP="00A73D5E">
      <w:pPr>
        <w:pStyle w:val="Heading1"/>
        <w:rPr>
          <w:rFonts w:ascii="Times New Roman" w:hAnsi="Times New Roman" w:cs="Times New Roman"/>
          <w:color w:val="000000" w:themeColor="text1"/>
          <w:sz w:val="24"/>
          <w:szCs w:val="24"/>
        </w:rPr>
      </w:pPr>
      <w:bookmarkStart w:id="32" w:name="_Toc535221039"/>
      <w:bookmarkStart w:id="33" w:name="_Toc5193395"/>
      <w:r w:rsidRPr="0093298D">
        <w:rPr>
          <w:rFonts w:ascii="Times New Roman" w:hAnsi="Times New Roman" w:cs="Times New Roman"/>
          <w:color w:val="000000" w:themeColor="text1"/>
          <w:sz w:val="24"/>
          <w:szCs w:val="24"/>
        </w:rPr>
        <w:t>Chapter 2</w:t>
      </w:r>
      <w:bookmarkStart w:id="34" w:name="_Toc535221040"/>
      <w:bookmarkEnd w:id="32"/>
      <w:r w:rsidR="00624868">
        <w:rPr>
          <w:rFonts w:ascii="Times New Roman" w:hAnsi="Times New Roman" w:cs="Times New Roman"/>
          <w:color w:val="000000" w:themeColor="text1"/>
          <w:sz w:val="24"/>
          <w:szCs w:val="24"/>
        </w:rPr>
        <w:t>: V</w:t>
      </w:r>
      <w:r w:rsidRPr="0093298D">
        <w:rPr>
          <w:rFonts w:ascii="Times New Roman" w:hAnsi="Times New Roman" w:cs="Times New Roman"/>
          <w:color w:val="000000" w:themeColor="text1"/>
          <w:sz w:val="24"/>
          <w:szCs w:val="24"/>
        </w:rPr>
        <w:t>alidation</w:t>
      </w:r>
      <w:bookmarkEnd w:id="33"/>
      <w:bookmarkEnd w:id="34"/>
    </w:p>
    <w:p w14:paraId="69765442" w14:textId="2046FF7F" w:rsidR="00A73D5E" w:rsidRPr="00EC3B28" w:rsidRDefault="00A73D5E" w:rsidP="00A73D5E">
      <w:pPr>
        <w:pStyle w:val="Heading2"/>
        <w:rPr>
          <w:rFonts w:ascii="Times New Roman" w:eastAsiaTheme="minorEastAsia" w:hAnsi="Times New Roman" w:cs="Times New Roman"/>
          <w:sz w:val="20"/>
          <w:szCs w:val="20"/>
        </w:rPr>
      </w:pPr>
      <w:bookmarkStart w:id="35" w:name="_Toc5193396"/>
      <w:r w:rsidRPr="00EC3B28">
        <w:rPr>
          <w:rFonts w:ascii="Times New Roman" w:eastAsiaTheme="minorEastAsia" w:hAnsi="Times New Roman" w:cs="Times New Roman"/>
          <w:color w:val="000000" w:themeColor="text1"/>
          <w:sz w:val="20"/>
          <w:szCs w:val="20"/>
        </w:rPr>
        <w:t>2.1 Performance characteristics to be determined for specific analytical methods</w:t>
      </w:r>
      <w:bookmarkEnd w:id="35"/>
    </w:p>
    <w:p w14:paraId="7B8B5119" w14:textId="77777777" w:rsidR="00A73D5E" w:rsidRPr="00EC3B28" w:rsidRDefault="00A73D5E" w:rsidP="00A73D5E">
      <w:pPr>
        <w:rPr>
          <w:rFonts w:eastAsia="Arial"/>
          <w:sz w:val="20"/>
          <w:szCs w:val="20"/>
        </w:rPr>
      </w:pPr>
      <w:r w:rsidRPr="00EC3B28">
        <w:rPr>
          <w:rFonts w:eastAsiaTheme="minorEastAsia"/>
          <w:sz w:val="20"/>
          <w:szCs w:val="20"/>
        </w:rPr>
        <w:t>By means of the validation of the method, it shall be demonstrated that the analytical method complies with the criteria applicable for the relevant performance characteristics.</w:t>
      </w:r>
      <w:r w:rsidRPr="00EC3B28">
        <w:rPr>
          <w:rFonts w:eastAsia="Arial"/>
          <w:sz w:val="20"/>
          <w:szCs w:val="20"/>
        </w:rPr>
        <w:t xml:space="preserve"> </w:t>
      </w:r>
      <w:r w:rsidRPr="00EC3B28">
        <w:rPr>
          <w:rFonts w:eastAsiaTheme="minorEastAsia"/>
          <w:sz w:val="20"/>
          <w:szCs w:val="20"/>
        </w:rPr>
        <w:t xml:space="preserve">Different control purposes require different categories of methods. Table 5 determines which performance characteristic shall be verified for which type of method, further explanation of each parameter is given in paragraph </w:t>
      </w:r>
      <w:r w:rsidRPr="00EC3B28">
        <w:rPr>
          <w:rFonts w:eastAsia="Arial"/>
          <w:sz w:val="20"/>
          <w:szCs w:val="20"/>
        </w:rPr>
        <w:t xml:space="preserve">2.1. </w:t>
      </w:r>
    </w:p>
    <w:p w14:paraId="2AB32637" w14:textId="77777777" w:rsidR="00A73D5E" w:rsidRPr="00EC3B28" w:rsidRDefault="00A73D5E" w:rsidP="00A73D5E">
      <w:pPr>
        <w:rPr>
          <w:rFonts w:eastAsia="Arial"/>
          <w:sz w:val="20"/>
          <w:szCs w:val="20"/>
        </w:rPr>
      </w:pPr>
      <w:r w:rsidRPr="00EC3B28">
        <w:rPr>
          <w:rFonts w:eastAsiaTheme="minorEastAsia"/>
          <w:b/>
          <w:bCs/>
          <w:sz w:val="20"/>
          <w:szCs w:val="20"/>
        </w:rPr>
        <w:t>Table 5.</w:t>
      </w:r>
      <w:r w:rsidRPr="00EC3B28">
        <w:rPr>
          <w:rFonts w:eastAsiaTheme="minorEastAsia"/>
          <w:sz w:val="20"/>
          <w:szCs w:val="20"/>
        </w:rPr>
        <w:t xml:space="preserve"> Classification of analytical methods by the performance characteristics that have to be determined.</w:t>
      </w:r>
    </w:p>
    <w:tbl>
      <w:tblPr>
        <w:tblStyle w:val="TableGrid"/>
        <w:tblW w:w="10110" w:type="dxa"/>
        <w:tblLayout w:type="fixed"/>
        <w:tblLook w:val="04A0" w:firstRow="1" w:lastRow="0" w:firstColumn="1" w:lastColumn="0" w:noHBand="0" w:noVBand="1"/>
      </w:tblPr>
      <w:tblGrid>
        <w:gridCol w:w="1271"/>
        <w:gridCol w:w="964"/>
        <w:gridCol w:w="850"/>
        <w:gridCol w:w="752"/>
        <w:gridCol w:w="617"/>
        <w:gridCol w:w="694"/>
        <w:gridCol w:w="993"/>
        <w:gridCol w:w="992"/>
        <w:gridCol w:w="850"/>
        <w:gridCol w:w="993"/>
        <w:gridCol w:w="17"/>
        <w:gridCol w:w="1117"/>
      </w:tblGrid>
      <w:tr w:rsidR="004926D6" w:rsidRPr="00EC3B28" w14:paraId="1EFA847E" w14:textId="77777777" w:rsidTr="00517E9E">
        <w:trPr>
          <w:trHeight w:val="397"/>
        </w:trPr>
        <w:tc>
          <w:tcPr>
            <w:tcW w:w="10110" w:type="dxa"/>
            <w:gridSpan w:val="12"/>
            <w:tcBorders>
              <w:top w:val="single" w:sz="4" w:space="0" w:color="auto"/>
              <w:left w:val="single" w:sz="4" w:space="0" w:color="auto"/>
              <w:bottom w:val="single" w:sz="4" w:space="0" w:color="auto"/>
              <w:right w:val="single" w:sz="4" w:space="0" w:color="auto"/>
            </w:tcBorders>
          </w:tcPr>
          <w:p w14:paraId="7E7BEF5C" w14:textId="77777777" w:rsidR="004926D6" w:rsidRDefault="004926D6" w:rsidP="004926D6">
            <w:pPr>
              <w:jc w:val="center"/>
              <w:rPr>
                <w:rFonts w:eastAsia="Arial"/>
                <w:b/>
                <w:sz w:val="20"/>
                <w:szCs w:val="20"/>
              </w:rPr>
            </w:pPr>
            <w:r w:rsidRPr="00EC3B28">
              <w:rPr>
                <w:rFonts w:eastAsia="Arial"/>
                <w:b/>
                <w:sz w:val="20"/>
                <w:szCs w:val="20"/>
              </w:rPr>
              <w:t>Table 5</w:t>
            </w:r>
          </w:p>
          <w:p w14:paraId="71A340D1" w14:textId="2853B12C" w:rsidR="002F054B" w:rsidRPr="002F054B" w:rsidRDefault="002F054B" w:rsidP="004926D6">
            <w:pPr>
              <w:jc w:val="center"/>
              <w:rPr>
                <w:rFonts w:eastAsia="Arial"/>
                <w:b/>
                <w:sz w:val="20"/>
                <w:szCs w:val="20"/>
              </w:rPr>
            </w:pPr>
            <w:r w:rsidRPr="002F054B">
              <w:rPr>
                <w:rFonts w:eastAsiaTheme="minorEastAsia"/>
                <w:b/>
                <w:sz w:val="20"/>
                <w:szCs w:val="20"/>
              </w:rPr>
              <w:t>Classification of analytical methods by the performance characteris</w:t>
            </w:r>
            <w:r>
              <w:rPr>
                <w:rFonts w:eastAsiaTheme="minorEastAsia"/>
                <w:b/>
                <w:sz w:val="20"/>
                <w:szCs w:val="20"/>
              </w:rPr>
              <w:t>tics that have to be determined</w:t>
            </w:r>
          </w:p>
        </w:tc>
      </w:tr>
      <w:tr w:rsidR="00A73D5E" w:rsidRPr="00EC3B28" w14:paraId="2A913565" w14:textId="77777777" w:rsidTr="00D53EAC">
        <w:trPr>
          <w:trHeight w:val="960"/>
        </w:trPr>
        <w:tc>
          <w:tcPr>
            <w:tcW w:w="1271" w:type="dxa"/>
            <w:tcBorders>
              <w:top w:val="single" w:sz="4" w:space="0" w:color="auto"/>
            </w:tcBorders>
            <w:hideMark/>
          </w:tcPr>
          <w:p w14:paraId="35CDE8D1" w14:textId="77777777" w:rsidR="00A73D5E" w:rsidRPr="00EC3B28" w:rsidRDefault="00A73D5E" w:rsidP="001545FE">
            <w:pPr>
              <w:rPr>
                <w:rFonts w:eastAsia="Arial"/>
                <w:sz w:val="20"/>
                <w:szCs w:val="20"/>
              </w:rPr>
            </w:pPr>
          </w:p>
        </w:tc>
        <w:tc>
          <w:tcPr>
            <w:tcW w:w="964" w:type="dxa"/>
            <w:tcBorders>
              <w:top w:val="single" w:sz="4" w:space="0" w:color="auto"/>
            </w:tcBorders>
            <w:hideMark/>
          </w:tcPr>
          <w:p w14:paraId="376975CA" w14:textId="77777777" w:rsidR="00A73D5E" w:rsidRPr="00EC3B28" w:rsidRDefault="00A73D5E" w:rsidP="001545FE">
            <w:pPr>
              <w:rPr>
                <w:rFonts w:eastAsia="Arial"/>
                <w:sz w:val="20"/>
                <w:szCs w:val="20"/>
              </w:rPr>
            </w:pPr>
            <w:r w:rsidRPr="00EC3B28">
              <w:rPr>
                <w:rFonts w:eastAsia="Arial"/>
                <w:sz w:val="20"/>
                <w:szCs w:val="20"/>
              </w:rPr>
              <w:t>Method</w:t>
            </w:r>
          </w:p>
        </w:tc>
        <w:tc>
          <w:tcPr>
            <w:tcW w:w="850" w:type="dxa"/>
            <w:tcBorders>
              <w:top w:val="single" w:sz="4" w:space="0" w:color="auto"/>
            </w:tcBorders>
            <w:hideMark/>
          </w:tcPr>
          <w:p w14:paraId="63D89462" w14:textId="77777777" w:rsidR="00A73D5E" w:rsidRPr="00EC3B28" w:rsidRDefault="00A73D5E" w:rsidP="001545FE">
            <w:pPr>
              <w:rPr>
                <w:rFonts w:eastAsia="Arial"/>
                <w:sz w:val="20"/>
                <w:szCs w:val="20"/>
              </w:rPr>
            </w:pPr>
            <w:r w:rsidRPr="00EC3B28">
              <w:rPr>
                <w:rFonts w:eastAsia="Arial"/>
                <w:sz w:val="20"/>
                <w:szCs w:val="20"/>
              </w:rPr>
              <w:t xml:space="preserve">Substances </w:t>
            </w:r>
          </w:p>
        </w:tc>
        <w:tc>
          <w:tcPr>
            <w:tcW w:w="752" w:type="dxa"/>
            <w:tcBorders>
              <w:top w:val="single" w:sz="4" w:space="0" w:color="auto"/>
            </w:tcBorders>
          </w:tcPr>
          <w:p w14:paraId="06C150D1" w14:textId="776061D3" w:rsidR="00A73D5E" w:rsidRPr="00EC3B28" w:rsidRDefault="00A73D5E" w:rsidP="001545FE">
            <w:pPr>
              <w:rPr>
                <w:rFonts w:eastAsia="Arial"/>
                <w:sz w:val="20"/>
                <w:szCs w:val="20"/>
              </w:rPr>
            </w:pPr>
            <w:r w:rsidRPr="00EC3B28">
              <w:rPr>
                <w:rFonts w:eastAsia="Arial"/>
                <w:sz w:val="20"/>
                <w:szCs w:val="20"/>
              </w:rPr>
              <w:t>Identification in accordance with 1.2.2</w:t>
            </w:r>
            <w:r w:rsidR="005F04CA">
              <w:rPr>
                <w:rFonts w:eastAsia="Arial"/>
                <w:sz w:val="20"/>
                <w:szCs w:val="20"/>
              </w:rPr>
              <w:t xml:space="preserve"> and/or </w:t>
            </w:r>
            <w:r w:rsidR="00065CA3" w:rsidRPr="00F12AED">
              <w:rPr>
                <w:rFonts w:eastAsia="Arial"/>
                <w:sz w:val="20"/>
                <w:szCs w:val="20"/>
              </w:rPr>
              <w:t>1.2.3</w:t>
            </w:r>
            <w:r w:rsidR="00065CA3">
              <w:rPr>
                <w:rFonts w:eastAsia="Arial"/>
                <w:sz w:val="20"/>
                <w:szCs w:val="20"/>
              </w:rPr>
              <w:t xml:space="preserve"> and/or </w:t>
            </w:r>
            <w:r w:rsidR="005F04CA">
              <w:rPr>
                <w:rFonts w:eastAsia="Arial"/>
                <w:sz w:val="20"/>
                <w:szCs w:val="20"/>
              </w:rPr>
              <w:t>1.2.4</w:t>
            </w:r>
          </w:p>
        </w:tc>
        <w:tc>
          <w:tcPr>
            <w:tcW w:w="617" w:type="dxa"/>
            <w:tcBorders>
              <w:top w:val="single" w:sz="4" w:space="0" w:color="auto"/>
            </w:tcBorders>
            <w:hideMark/>
          </w:tcPr>
          <w:p w14:paraId="414613E7" w14:textId="77777777" w:rsidR="00A73D5E" w:rsidRPr="00EC3B28" w:rsidRDefault="00A73D5E" w:rsidP="001545FE">
            <w:pPr>
              <w:rPr>
                <w:rFonts w:eastAsia="Arial"/>
                <w:sz w:val="20"/>
                <w:szCs w:val="20"/>
              </w:rPr>
            </w:pPr>
            <w:r w:rsidRPr="00EC3B28">
              <w:rPr>
                <w:rFonts w:eastAsia="Arial"/>
                <w:sz w:val="20"/>
                <w:szCs w:val="20"/>
              </w:rPr>
              <w:t>CCα</w:t>
            </w:r>
          </w:p>
        </w:tc>
        <w:tc>
          <w:tcPr>
            <w:tcW w:w="694" w:type="dxa"/>
            <w:tcBorders>
              <w:top w:val="single" w:sz="4" w:space="0" w:color="auto"/>
            </w:tcBorders>
            <w:hideMark/>
          </w:tcPr>
          <w:p w14:paraId="387664AD" w14:textId="441F94BB" w:rsidR="00A73D5E" w:rsidRPr="00EC3B28" w:rsidRDefault="00A73D5E" w:rsidP="005450F6">
            <w:pPr>
              <w:rPr>
                <w:rFonts w:eastAsia="Arial"/>
                <w:sz w:val="20"/>
                <w:szCs w:val="20"/>
              </w:rPr>
            </w:pPr>
            <w:r w:rsidRPr="00EC3B28">
              <w:rPr>
                <w:rFonts w:eastAsia="Arial"/>
                <w:sz w:val="20"/>
                <w:szCs w:val="20"/>
              </w:rPr>
              <w:t>CCβ</w:t>
            </w:r>
          </w:p>
        </w:tc>
        <w:tc>
          <w:tcPr>
            <w:tcW w:w="993" w:type="dxa"/>
            <w:tcBorders>
              <w:top w:val="single" w:sz="4" w:space="0" w:color="auto"/>
            </w:tcBorders>
            <w:hideMark/>
          </w:tcPr>
          <w:p w14:paraId="31011FEF" w14:textId="7D7902D1" w:rsidR="00A73D5E" w:rsidRPr="00EC3B28" w:rsidRDefault="00A73D5E" w:rsidP="001545FE">
            <w:pPr>
              <w:rPr>
                <w:rFonts w:eastAsia="Arial"/>
                <w:sz w:val="20"/>
                <w:szCs w:val="20"/>
              </w:rPr>
            </w:pPr>
            <w:r w:rsidRPr="00EC3B28">
              <w:rPr>
                <w:rFonts w:eastAsia="Arial"/>
                <w:sz w:val="20"/>
                <w:szCs w:val="20"/>
              </w:rPr>
              <w:t>Trueness</w:t>
            </w:r>
          </w:p>
        </w:tc>
        <w:tc>
          <w:tcPr>
            <w:tcW w:w="992" w:type="dxa"/>
            <w:tcBorders>
              <w:top w:val="single" w:sz="4" w:space="0" w:color="auto"/>
            </w:tcBorders>
            <w:hideMark/>
          </w:tcPr>
          <w:p w14:paraId="1332DA8F" w14:textId="77777777" w:rsidR="00A73D5E" w:rsidRPr="00EC3B28" w:rsidRDefault="00A73D5E" w:rsidP="001545FE">
            <w:pPr>
              <w:rPr>
                <w:rFonts w:eastAsia="Arial"/>
                <w:sz w:val="20"/>
                <w:szCs w:val="20"/>
              </w:rPr>
            </w:pPr>
            <w:r w:rsidRPr="00EC3B28">
              <w:rPr>
                <w:rFonts w:eastAsia="Arial"/>
                <w:sz w:val="20"/>
                <w:szCs w:val="20"/>
              </w:rPr>
              <w:t>Precision</w:t>
            </w:r>
          </w:p>
        </w:tc>
        <w:tc>
          <w:tcPr>
            <w:tcW w:w="850" w:type="dxa"/>
            <w:tcBorders>
              <w:top w:val="single" w:sz="4" w:space="0" w:color="auto"/>
            </w:tcBorders>
            <w:hideMark/>
          </w:tcPr>
          <w:p w14:paraId="20F76569" w14:textId="2B93B2CF" w:rsidR="00A73D5E" w:rsidRPr="00EC3B28" w:rsidRDefault="00A73D5E" w:rsidP="00B265E2">
            <w:pPr>
              <w:rPr>
                <w:rFonts w:eastAsia="Arial"/>
                <w:sz w:val="20"/>
                <w:szCs w:val="20"/>
              </w:rPr>
            </w:pPr>
            <w:r w:rsidRPr="00EC3B28">
              <w:rPr>
                <w:rFonts w:eastAsia="Arial"/>
                <w:sz w:val="20"/>
                <w:szCs w:val="20"/>
              </w:rPr>
              <w:t>Relative matrix effect</w:t>
            </w:r>
            <w:r w:rsidR="005F04CA">
              <w:rPr>
                <w:rFonts w:eastAsia="Arial"/>
                <w:sz w:val="20"/>
                <w:szCs w:val="20"/>
              </w:rPr>
              <w:t>/absolute</w:t>
            </w:r>
            <w:r w:rsidR="00B265E2">
              <w:rPr>
                <w:rFonts w:eastAsia="Arial"/>
                <w:sz w:val="20"/>
                <w:szCs w:val="20"/>
              </w:rPr>
              <w:t>r</w:t>
            </w:r>
            <w:r w:rsidR="005F04CA">
              <w:rPr>
                <w:rFonts w:eastAsia="Arial"/>
                <w:sz w:val="20"/>
                <w:szCs w:val="20"/>
              </w:rPr>
              <w:t>ecovery</w:t>
            </w:r>
            <w:r w:rsidRPr="00EC3B28">
              <w:rPr>
                <w:rFonts w:eastAsia="Arial"/>
                <w:sz w:val="20"/>
                <w:szCs w:val="20"/>
              </w:rPr>
              <w:t>**</w:t>
            </w:r>
          </w:p>
        </w:tc>
        <w:tc>
          <w:tcPr>
            <w:tcW w:w="993" w:type="dxa"/>
            <w:tcBorders>
              <w:top w:val="single" w:sz="4" w:space="0" w:color="auto"/>
            </w:tcBorders>
            <w:hideMark/>
          </w:tcPr>
          <w:p w14:paraId="4DFA2F3B" w14:textId="77777777" w:rsidR="00A73D5E" w:rsidRPr="00EC3B28" w:rsidRDefault="00A73D5E" w:rsidP="001545FE">
            <w:pPr>
              <w:rPr>
                <w:rFonts w:eastAsia="Arial"/>
                <w:sz w:val="20"/>
                <w:szCs w:val="20"/>
              </w:rPr>
            </w:pPr>
            <w:r w:rsidRPr="00EC3B28">
              <w:rPr>
                <w:rFonts w:eastAsia="Arial"/>
                <w:sz w:val="20"/>
                <w:szCs w:val="20"/>
              </w:rPr>
              <w:t>Selectivity/</w:t>
            </w:r>
            <w:r w:rsidRPr="00EC3B28">
              <w:rPr>
                <w:rFonts w:eastAsia="Arial"/>
                <w:sz w:val="20"/>
                <w:szCs w:val="20"/>
              </w:rPr>
              <w:br/>
              <w:t>specificity</w:t>
            </w:r>
          </w:p>
        </w:tc>
        <w:tc>
          <w:tcPr>
            <w:tcW w:w="1134" w:type="dxa"/>
            <w:gridSpan w:val="2"/>
            <w:tcBorders>
              <w:top w:val="single" w:sz="4" w:space="0" w:color="auto"/>
            </w:tcBorders>
            <w:hideMark/>
          </w:tcPr>
          <w:p w14:paraId="11F2CC38" w14:textId="77777777" w:rsidR="00A73D5E" w:rsidRPr="00EC3B28" w:rsidRDefault="00A73D5E" w:rsidP="001545FE">
            <w:pPr>
              <w:rPr>
                <w:rFonts w:eastAsia="Arial"/>
                <w:sz w:val="20"/>
                <w:szCs w:val="20"/>
              </w:rPr>
            </w:pPr>
            <w:r w:rsidRPr="00EC3B28">
              <w:rPr>
                <w:rFonts w:eastAsia="Arial"/>
                <w:sz w:val="20"/>
                <w:szCs w:val="20"/>
              </w:rPr>
              <w:t>Stability</w:t>
            </w:r>
            <w:r w:rsidRPr="00EC3B28">
              <w:rPr>
                <w:rFonts w:eastAsia="Arial"/>
                <w:sz w:val="20"/>
                <w:szCs w:val="20"/>
                <w:vertAlign w:val="superscript"/>
              </w:rPr>
              <w:t>#</w:t>
            </w:r>
            <w:r w:rsidRPr="00EC3B28">
              <w:rPr>
                <w:sz w:val="20"/>
                <w:szCs w:val="20"/>
                <w:vertAlign w:val="superscript"/>
              </w:rPr>
              <w:t>#</w:t>
            </w:r>
            <w:r w:rsidRPr="00EC3B28">
              <w:rPr>
                <w:rFonts w:eastAsia="Arial"/>
                <w:b/>
                <w:bCs/>
                <w:sz w:val="20"/>
                <w:szCs w:val="20"/>
                <w:vertAlign w:val="superscript"/>
              </w:rPr>
              <w:t xml:space="preserve"> </w:t>
            </w:r>
            <w:r w:rsidRPr="00EC3B28">
              <w:rPr>
                <w:rFonts w:eastAsia="Arial"/>
                <w:sz w:val="20"/>
                <w:szCs w:val="20"/>
              </w:rPr>
              <w:t>/ applicability/</w:t>
            </w:r>
            <w:r w:rsidRPr="00EC3B28">
              <w:rPr>
                <w:rFonts w:eastAsia="Arial"/>
                <w:sz w:val="20"/>
                <w:szCs w:val="20"/>
              </w:rPr>
              <w:br/>
              <w:t>ruggedness</w:t>
            </w:r>
          </w:p>
        </w:tc>
      </w:tr>
      <w:tr w:rsidR="00A73D5E" w:rsidRPr="00EC3B28" w14:paraId="16FCCF24" w14:textId="77777777" w:rsidTr="00D53EAC">
        <w:trPr>
          <w:trHeight w:val="375"/>
        </w:trPr>
        <w:tc>
          <w:tcPr>
            <w:tcW w:w="1271" w:type="dxa"/>
            <w:vMerge w:val="restart"/>
            <w:noWrap/>
            <w:hideMark/>
          </w:tcPr>
          <w:p w14:paraId="1FBA2E3F" w14:textId="77777777" w:rsidR="00A73D5E" w:rsidRPr="00EC3B28" w:rsidRDefault="00A73D5E" w:rsidP="001545FE">
            <w:pPr>
              <w:rPr>
                <w:rFonts w:eastAsia="Arial"/>
                <w:sz w:val="20"/>
                <w:szCs w:val="20"/>
              </w:rPr>
            </w:pPr>
          </w:p>
          <w:p w14:paraId="448CF676" w14:textId="77777777" w:rsidR="00A73D5E" w:rsidRPr="00EC3B28" w:rsidRDefault="00A73D5E" w:rsidP="001545FE">
            <w:pPr>
              <w:rPr>
                <w:rFonts w:eastAsia="Arial"/>
                <w:sz w:val="20"/>
                <w:szCs w:val="20"/>
              </w:rPr>
            </w:pPr>
            <w:r w:rsidRPr="00EC3B28">
              <w:rPr>
                <w:rFonts w:eastAsia="Arial"/>
                <w:sz w:val="20"/>
                <w:szCs w:val="20"/>
              </w:rPr>
              <w:t>Confirmation</w:t>
            </w:r>
          </w:p>
        </w:tc>
        <w:tc>
          <w:tcPr>
            <w:tcW w:w="964" w:type="dxa"/>
            <w:noWrap/>
            <w:hideMark/>
          </w:tcPr>
          <w:p w14:paraId="6ED7E2F5" w14:textId="77777777" w:rsidR="00A73D5E" w:rsidRPr="00EC3B28" w:rsidRDefault="00A73D5E" w:rsidP="001545FE">
            <w:pPr>
              <w:rPr>
                <w:sz w:val="20"/>
                <w:szCs w:val="20"/>
              </w:rPr>
            </w:pPr>
            <w:r w:rsidRPr="00EC3B28">
              <w:rPr>
                <w:sz w:val="20"/>
                <w:szCs w:val="20"/>
              </w:rPr>
              <w:t>Qualitative</w:t>
            </w:r>
          </w:p>
        </w:tc>
        <w:tc>
          <w:tcPr>
            <w:tcW w:w="850" w:type="dxa"/>
            <w:noWrap/>
            <w:hideMark/>
          </w:tcPr>
          <w:p w14:paraId="6B2AC5E4" w14:textId="77777777" w:rsidR="00A73D5E" w:rsidRPr="00A667D8" w:rsidRDefault="00A73D5E" w:rsidP="001545FE">
            <w:pPr>
              <w:jc w:val="center"/>
              <w:rPr>
                <w:rFonts w:eastAsia="Arial"/>
                <w:sz w:val="20"/>
                <w:szCs w:val="20"/>
              </w:rPr>
            </w:pPr>
            <w:r w:rsidRPr="00A667D8">
              <w:rPr>
                <w:rFonts w:eastAsia="Arial"/>
                <w:sz w:val="20"/>
                <w:szCs w:val="20"/>
              </w:rPr>
              <w:t>A</w:t>
            </w:r>
          </w:p>
        </w:tc>
        <w:tc>
          <w:tcPr>
            <w:tcW w:w="752" w:type="dxa"/>
          </w:tcPr>
          <w:p w14:paraId="62F6A374" w14:textId="77777777" w:rsidR="00A73D5E" w:rsidRPr="00EC3B28" w:rsidRDefault="00A73D5E" w:rsidP="001545FE">
            <w:pPr>
              <w:jc w:val="center"/>
              <w:rPr>
                <w:sz w:val="20"/>
                <w:szCs w:val="20"/>
              </w:rPr>
            </w:pPr>
            <w:r w:rsidRPr="00EC3B28">
              <w:rPr>
                <w:sz w:val="20"/>
                <w:szCs w:val="20"/>
              </w:rPr>
              <w:t>x</w:t>
            </w:r>
          </w:p>
        </w:tc>
        <w:tc>
          <w:tcPr>
            <w:tcW w:w="617" w:type="dxa"/>
            <w:noWrap/>
            <w:hideMark/>
          </w:tcPr>
          <w:p w14:paraId="2AE97B13" w14:textId="77777777" w:rsidR="00A73D5E" w:rsidRPr="00EC3B28" w:rsidRDefault="00A73D5E" w:rsidP="001545FE">
            <w:pPr>
              <w:jc w:val="center"/>
              <w:rPr>
                <w:sz w:val="20"/>
                <w:szCs w:val="20"/>
              </w:rPr>
            </w:pPr>
            <w:r w:rsidRPr="00EC3B28">
              <w:rPr>
                <w:sz w:val="20"/>
                <w:szCs w:val="20"/>
              </w:rPr>
              <w:t>x</w:t>
            </w:r>
          </w:p>
        </w:tc>
        <w:tc>
          <w:tcPr>
            <w:tcW w:w="5656" w:type="dxa"/>
            <w:gridSpan w:val="7"/>
            <w:noWrap/>
            <w:hideMark/>
          </w:tcPr>
          <w:p w14:paraId="5A234AE3" w14:textId="77777777" w:rsidR="00A73D5E" w:rsidRPr="00EC3B28" w:rsidRDefault="00A73D5E" w:rsidP="001545FE">
            <w:pPr>
              <w:rPr>
                <w:rFonts w:eastAsia="Arial"/>
                <w:strike/>
                <w:sz w:val="20"/>
                <w:szCs w:val="20"/>
              </w:rPr>
            </w:pPr>
            <w:r w:rsidRPr="00EC3B28">
              <w:rPr>
                <w:rFonts w:eastAsia="Arial"/>
                <w:strike/>
                <w:sz w:val="20"/>
                <w:szCs w:val="20"/>
              </w:rPr>
              <w:t>-</w:t>
            </w:r>
          </w:p>
        </w:tc>
      </w:tr>
      <w:tr w:rsidR="00A73D5E" w:rsidRPr="00EC3B28" w14:paraId="47E61A58" w14:textId="77777777" w:rsidTr="00D53EAC">
        <w:trPr>
          <w:trHeight w:val="375"/>
        </w:trPr>
        <w:tc>
          <w:tcPr>
            <w:tcW w:w="1271" w:type="dxa"/>
            <w:vMerge/>
            <w:hideMark/>
          </w:tcPr>
          <w:p w14:paraId="7BA36866" w14:textId="77777777" w:rsidR="00A73D5E" w:rsidRPr="00EC3B28" w:rsidRDefault="00A73D5E" w:rsidP="001545FE">
            <w:pPr>
              <w:rPr>
                <w:rFonts w:eastAsia="Arial"/>
                <w:sz w:val="20"/>
                <w:szCs w:val="20"/>
              </w:rPr>
            </w:pPr>
          </w:p>
        </w:tc>
        <w:tc>
          <w:tcPr>
            <w:tcW w:w="964" w:type="dxa"/>
            <w:noWrap/>
            <w:hideMark/>
          </w:tcPr>
          <w:p w14:paraId="46E90678" w14:textId="77777777" w:rsidR="00A73D5E" w:rsidRPr="00EC3B28" w:rsidRDefault="00A73D5E" w:rsidP="001545FE">
            <w:pPr>
              <w:rPr>
                <w:rFonts w:eastAsia="Arial"/>
                <w:sz w:val="20"/>
                <w:szCs w:val="20"/>
              </w:rPr>
            </w:pPr>
            <w:r w:rsidRPr="00EC3B28">
              <w:rPr>
                <w:rFonts w:eastAsia="Arial"/>
                <w:sz w:val="20"/>
                <w:szCs w:val="20"/>
              </w:rPr>
              <w:t>Quantitative</w:t>
            </w:r>
          </w:p>
        </w:tc>
        <w:tc>
          <w:tcPr>
            <w:tcW w:w="850" w:type="dxa"/>
            <w:noWrap/>
            <w:hideMark/>
          </w:tcPr>
          <w:p w14:paraId="74A9F558" w14:textId="77777777" w:rsidR="00A73D5E" w:rsidRPr="00EC3B28" w:rsidRDefault="00A73D5E" w:rsidP="001545FE">
            <w:pPr>
              <w:jc w:val="center"/>
              <w:rPr>
                <w:rFonts w:eastAsia="Arial"/>
                <w:sz w:val="20"/>
                <w:szCs w:val="20"/>
              </w:rPr>
            </w:pPr>
            <w:r w:rsidRPr="00EC3B28">
              <w:rPr>
                <w:rFonts w:eastAsia="Arial"/>
                <w:sz w:val="20"/>
                <w:szCs w:val="20"/>
              </w:rPr>
              <w:t>A, B</w:t>
            </w:r>
          </w:p>
        </w:tc>
        <w:tc>
          <w:tcPr>
            <w:tcW w:w="752" w:type="dxa"/>
          </w:tcPr>
          <w:p w14:paraId="3736234F"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617" w:type="dxa"/>
            <w:noWrap/>
            <w:hideMark/>
          </w:tcPr>
          <w:p w14:paraId="32F56EBC"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694" w:type="dxa"/>
            <w:noWrap/>
            <w:hideMark/>
          </w:tcPr>
          <w:p w14:paraId="0CA5DE65" w14:textId="77777777" w:rsidR="00A73D5E" w:rsidRPr="00EC3B28" w:rsidRDefault="00A73D5E" w:rsidP="001545FE">
            <w:pPr>
              <w:jc w:val="center"/>
              <w:rPr>
                <w:rFonts w:eastAsia="Arial"/>
                <w:sz w:val="20"/>
                <w:szCs w:val="20"/>
              </w:rPr>
            </w:pPr>
          </w:p>
        </w:tc>
        <w:tc>
          <w:tcPr>
            <w:tcW w:w="993" w:type="dxa"/>
            <w:noWrap/>
            <w:hideMark/>
          </w:tcPr>
          <w:p w14:paraId="52516FBA"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992" w:type="dxa"/>
            <w:noWrap/>
            <w:hideMark/>
          </w:tcPr>
          <w:p w14:paraId="193824C4"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850" w:type="dxa"/>
            <w:noWrap/>
            <w:hideMark/>
          </w:tcPr>
          <w:p w14:paraId="19E71FCA"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1010" w:type="dxa"/>
            <w:gridSpan w:val="2"/>
            <w:noWrap/>
            <w:hideMark/>
          </w:tcPr>
          <w:p w14:paraId="52BB3EC8"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1117" w:type="dxa"/>
            <w:noWrap/>
            <w:hideMark/>
          </w:tcPr>
          <w:p w14:paraId="7464538C" w14:textId="77777777" w:rsidR="00A73D5E" w:rsidRPr="00EC3B28" w:rsidRDefault="00A73D5E" w:rsidP="001545FE">
            <w:pPr>
              <w:jc w:val="center"/>
              <w:rPr>
                <w:rFonts w:eastAsia="Arial"/>
                <w:sz w:val="20"/>
                <w:szCs w:val="20"/>
              </w:rPr>
            </w:pPr>
            <w:r w:rsidRPr="00EC3B28">
              <w:rPr>
                <w:rFonts w:eastAsia="Arial"/>
                <w:sz w:val="20"/>
                <w:szCs w:val="20"/>
              </w:rPr>
              <w:t>x</w:t>
            </w:r>
          </w:p>
        </w:tc>
      </w:tr>
      <w:tr w:rsidR="00A73D5E" w:rsidRPr="00EC3B28" w14:paraId="66CF7CEB" w14:textId="77777777" w:rsidTr="00D53EAC">
        <w:trPr>
          <w:trHeight w:val="375"/>
        </w:trPr>
        <w:tc>
          <w:tcPr>
            <w:tcW w:w="1271" w:type="dxa"/>
            <w:vMerge w:val="restart"/>
            <w:noWrap/>
            <w:hideMark/>
          </w:tcPr>
          <w:p w14:paraId="618D7ECE" w14:textId="77777777" w:rsidR="00A73D5E" w:rsidRPr="00EC3B28" w:rsidRDefault="00A73D5E" w:rsidP="001545FE">
            <w:pPr>
              <w:rPr>
                <w:rFonts w:eastAsia="Arial"/>
                <w:sz w:val="20"/>
                <w:szCs w:val="20"/>
              </w:rPr>
            </w:pPr>
          </w:p>
          <w:p w14:paraId="0C4680B4" w14:textId="77777777" w:rsidR="00A73D5E" w:rsidRPr="00EC3B28" w:rsidRDefault="00A73D5E" w:rsidP="001545FE">
            <w:pPr>
              <w:rPr>
                <w:rFonts w:eastAsia="Arial"/>
                <w:sz w:val="20"/>
                <w:szCs w:val="20"/>
              </w:rPr>
            </w:pPr>
            <w:r w:rsidRPr="00EC3B28">
              <w:rPr>
                <w:rFonts w:eastAsia="Arial"/>
                <w:sz w:val="20"/>
                <w:szCs w:val="20"/>
              </w:rPr>
              <w:t>Screening</w:t>
            </w:r>
          </w:p>
        </w:tc>
        <w:tc>
          <w:tcPr>
            <w:tcW w:w="964" w:type="dxa"/>
            <w:noWrap/>
            <w:hideMark/>
          </w:tcPr>
          <w:p w14:paraId="07C42108" w14:textId="77777777" w:rsidR="00A73D5E" w:rsidRPr="00EC3B28" w:rsidRDefault="00A73D5E" w:rsidP="001545FE">
            <w:pPr>
              <w:rPr>
                <w:rFonts w:eastAsia="Arial"/>
                <w:sz w:val="20"/>
                <w:szCs w:val="20"/>
              </w:rPr>
            </w:pPr>
            <w:r w:rsidRPr="00EC3B28">
              <w:rPr>
                <w:rFonts w:eastAsia="Arial"/>
                <w:sz w:val="20"/>
                <w:szCs w:val="20"/>
              </w:rPr>
              <w:t>Qualitative</w:t>
            </w:r>
          </w:p>
        </w:tc>
        <w:tc>
          <w:tcPr>
            <w:tcW w:w="850" w:type="dxa"/>
            <w:noWrap/>
            <w:hideMark/>
          </w:tcPr>
          <w:p w14:paraId="0A33E6C2" w14:textId="77777777" w:rsidR="00A73D5E" w:rsidRPr="00EC3B28" w:rsidRDefault="00A73D5E" w:rsidP="001545FE">
            <w:pPr>
              <w:jc w:val="center"/>
              <w:rPr>
                <w:rFonts w:eastAsia="Arial"/>
                <w:sz w:val="20"/>
                <w:szCs w:val="20"/>
              </w:rPr>
            </w:pPr>
            <w:r w:rsidRPr="00EC3B28">
              <w:rPr>
                <w:rFonts w:eastAsia="Arial"/>
                <w:sz w:val="20"/>
                <w:szCs w:val="20"/>
              </w:rPr>
              <w:t>A, B</w:t>
            </w:r>
          </w:p>
        </w:tc>
        <w:tc>
          <w:tcPr>
            <w:tcW w:w="752" w:type="dxa"/>
          </w:tcPr>
          <w:p w14:paraId="04285275" w14:textId="77777777" w:rsidR="00A73D5E" w:rsidRPr="00EC3B28" w:rsidRDefault="00A73D5E" w:rsidP="001545FE">
            <w:pPr>
              <w:jc w:val="center"/>
              <w:rPr>
                <w:rFonts w:eastAsia="Arial"/>
                <w:sz w:val="20"/>
                <w:szCs w:val="20"/>
              </w:rPr>
            </w:pPr>
          </w:p>
        </w:tc>
        <w:tc>
          <w:tcPr>
            <w:tcW w:w="617" w:type="dxa"/>
            <w:noWrap/>
            <w:hideMark/>
          </w:tcPr>
          <w:p w14:paraId="19F00BE7" w14:textId="77777777" w:rsidR="00A73D5E" w:rsidRPr="00EC3B28" w:rsidRDefault="00A73D5E" w:rsidP="001545FE">
            <w:pPr>
              <w:jc w:val="center"/>
              <w:rPr>
                <w:rFonts w:eastAsia="Arial"/>
                <w:sz w:val="20"/>
                <w:szCs w:val="20"/>
              </w:rPr>
            </w:pPr>
          </w:p>
        </w:tc>
        <w:tc>
          <w:tcPr>
            <w:tcW w:w="694" w:type="dxa"/>
            <w:noWrap/>
            <w:hideMark/>
          </w:tcPr>
          <w:p w14:paraId="290555A4"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993" w:type="dxa"/>
            <w:noWrap/>
            <w:hideMark/>
          </w:tcPr>
          <w:p w14:paraId="4CB33B4F" w14:textId="77777777" w:rsidR="00A73D5E" w:rsidRPr="00EC3B28" w:rsidRDefault="00A73D5E" w:rsidP="001545FE">
            <w:pPr>
              <w:jc w:val="center"/>
              <w:rPr>
                <w:rFonts w:eastAsia="Arial"/>
                <w:sz w:val="20"/>
                <w:szCs w:val="20"/>
              </w:rPr>
            </w:pPr>
          </w:p>
        </w:tc>
        <w:tc>
          <w:tcPr>
            <w:tcW w:w="992" w:type="dxa"/>
            <w:noWrap/>
            <w:hideMark/>
          </w:tcPr>
          <w:p w14:paraId="12F73186" w14:textId="77777777" w:rsidR="00A73D5E" w:rsidRPr="00EC3B28" w:rsidRDefault="00A73D5E" w:rsidP="001545FE">
            <w:pPr>
              <w:jc w:val="center"/>
              <w:rPr>
                <w:rFonts w:eastAsia="Arial"/>
                <w:sz w:val="20"/>
                <w:szCs w:val="20"/>
              </w:rPr>
            </w:pPr>
          </w:p>
        </w:tc>
        <w:tc>
          <w:tcPr>
            <w:tcW w:w="850" w:type="dxa"/>
            <w:noWrap/>
            <w:hideMark/>
          </w:tcPr>
          <w:p w14:paraId="3033A3C5" w14:textId="77777777" w:rsidR="00A73D5E" w:rsidRPr="00EC3B28" w:rsidRDefault="00A73D5E" w:rsidP="001545FE">
            <w:pPr>
              <w:jc w:val="center"/>
              <w:rPr>
                <w:rFonts w:eastAsia="Arial"/>
                <w:sz w:val="20"/>
                <w:szCs w:val="20"/>
              </w:rPr>
            </w:pPr>
          </w:p>
        </w:tc>
        <w:tc>
          <w:tcPr>
            <w:tcW w:w="1010" w:type="dxa"/>
            <w:gridSpan w:val="2"/>
            <w:noWrap/>
            <w:hideMark/>
          </w:tcPr>
          <w:p w14:paraId="481E77FC"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1117" w:type="dxa"/>
            <w:noWrap/>
            <w:hideMark/>
          </w:tcPr>
          <w:p w14:paraId="53EDD9F5" w14:textId="77777777" w:rsidR="00A73D5E" w:rsidRPr="00EC3B28" w:rsidRDefault="00A73D5E" w:rsidP="001545FE">
            <w:pPr>
              <w:jc w:val="center"/>
              <w:rPr>
                <w:rFonts w:eastAsia="Arial"/>
                <w:sz w:val="20"/>
                <w:szCs w:val="20"/>
              </w:rPr>
            </w:pPr>
            <w:r w:rsidRPr="00EC3B28">
              <w:rPr>
                <w:rFonts w:eastAsia="Arial"/>
                <w:sz w:val="20"/>
                <w:szCs w:val="20"/>
              </w:rPr>
              <w:t>x</w:t>
            </w:r>
          </w:p>
        </w:tc>
      </w:tr>
      <w:tr w:rsidR="00A73D5E" w:rsidRPr="00EC3B28" w14:paraId="04576011" w14:textId="77777777" w:rsidTr="00D53EAC">
        <w:trPr>
          <w:trHeight w:val="375"/>
        </w:trPr>
        <w:tc>
          <w:tcPr>
            <w:tcW w:w="1271" w:type="dxa"/>
            <w:vMerge/>
            <w:hideMark/>
          </w:tcPr>
          <w:p w14:paraId="40F8394F" w14:textId="77777777" w:rsidR="00A73D5E" w:rsidRPr="00EC3B28" w:rsidRDefault="00A73D5E" w:rsidP="001545FE">
            <w:pPr>
              <w:rPr>
                <w:rFonts w:eastAsia="Arial"/>
                <w:sz w:val="20"/>
                <w:szCs w:val="20"/>
              </w:rPr>
            </w:pPr>
          </w:p>
        </w:tc>
        <w:tc>
          <w:tcPr>
            <w:tcW w:w="964" w:type="dxa"/>
            <w:noWrap/>
            <w:hideMark/>
          </w:tcPr>
          <w:p w14:paraId="0DBB61CC" w14:textId="77777777" w:rsidR="00A73D5E" w:rsidRPr="00EC3B28" w:rsidRDefault="00A73D5E" w:rsidP="001545FE">
            <w:pPr>
              <w:rPr>
                <w:rFonts w:eastAsia="Arial"/>
                <w:sz w:val="20"/>
                <w:szCs w:val="20"/>
              </w:rPr>
            </w:pPr>
            <w:r w:rsidRPr="00EC3B28">
              <w:rPr>
                <w:rFonts w:eastAsia="Arial"/>
                <w:sz w:val="20"/>
                <w:szCs w:val="20"/>
              </w:rPr>
              <w:t>Semi-quantitative</w:t>
            </w:r>
          </w:p>
        </w:tc>
        <w:tc>
          <w:tcPr>
            <w:tcW w:w="850" w:type="dxa"/>
            <w:noWrap/>
            <w:hideMark/>
          </w:tcPr>
          <w:p w14:paraId="68A37745" w14:textId="77777777" w:rsidR="00A73D5E" w:rsidRPr="00EC3B28" w:rsidRDefault="00A73D5E" w:rsidP="001545FE">
            <w:pPr>
              <w:jc w:val="center"/>
              <w:rPr>
                <w:rFonts w:eastAsia="Arial"/>
                <w:sz w:val="20"/>
                <w:szCs w:val="20"/>
              </w:rPr>
            </w:pPr>
            <w:r w:rsidRPr="00EC3B28">
              <w:rPr>
                <w:rFonts w:eastAsia="Arial"/>
                <w:sz w:val="20"/>
                <w:szCs w:val="20"/>
              </w:rPr>
              <w:t>A, B</w:t>
            </w:r>
          </w:p>
        </w:tc>
        <w:tc>
          <w:tcPr>
            <w:tcW w:w="752" w:type="dxa"/>
          </w:tcPr>
          <w:p w14:paraId="622379B1" w14:textId="77777777" w:rsidR="00A73D5E" w:rsidRPr="00EC3B28" w:rsidRDefault="00A73D5E" w:rsidP="001545FE">
            <w:pPr>
              <w:jc w:val="center"/>
              <w:rPr>
                <w:rFonts w:eastAsia="Arial"/>
                <w:sz w:val="20"/>
                <w:szCs w:val="20"/>
              </w:rPr>
            </w:pPr>
          </w:p>
        </w:tc>
        <w:tc>
          <w:tcPr>
            <w:tcW w:w="617" w:type="dxa"/>
            <w:noWrap/>
            <w:hideMark/>
          </w:tcPr>
          <w:p w14:paraId="06005D29" w14:textId="77777777" w:rsidR="00A73D5E" w:rsidRPr="00EC3B28" w:rsidRDefault="00A73D5E" w:rsidP="001545FE">
            <w:pPr>
              <w:jc w:val="center"/>
              <w:rPr>
                <w:rFonts w:eastAsia="Arial"/>
                <w:sz w:val="20"/>
                <w:szCs w:val="20"/>
              </w:rPr>
            </w:pPr>
          </w:p>
        </w:tc>
        <w:tc>
          <w:tcPr>
            <w:tcW w:w="694" w:type="dxa"/>
            <w:noWrap/>
            <w:hideMark/>
          </w:tcPr>
          <w:p w14:paraId="5702A9E9"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993" w:type="dxa"/>
            <w:noWrap/>
            <w:hideMark/>
          </w:tcPr>
          <w:p w14:paraId="1C3D3C71" w14:textId="77777777" w:rsidR="00A73D5E" w:rsidRPr="00EC3B28" w:rsidRDefault="00A73D5E" w:rsidP="001545FE">
            <w:pPr>
              <w:jc w:val="center"/>
              <w:rPr>
                <w:rFonts w:eastAsia="Arial"/>
                <w:sz w:val="20"/>
                <w:szCs w:val="20"/>
              </w:rPr>
            </w:pPr>
          </w:p>
        </w:tc>
        <w:tc>
          <w:tcPr>
            <w:tcW w:w="992" w:type="dxa"/>
            <w:noWrap/>
            <w:hideMark/>
          </w:tcPr>
          <w:p w14:paraId="74448AFF"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850" w:type="dxa"/>
            <w:noWrap/>
            <w:hideMark/>
          </w:tcPr>
          <w:p w14:paraId="04955193" w14:textId="77777777" w:rsidR="00A73D5E" w:rsidRPr="00EC3B28" w:rsidRDefault="00A73D5E" w:rsidP="001545FE">
            <w:pPr>
              <w:jc w:val="center"/>
              <w:rPr>
                <w:rFonts w:eastAsia="Arial"/>
                <w:sz w:val="20"/>
                <w:szCs w:val="20"/>
              </w:rPr>
            </w:pPr>
          </w:p>
        </w:tc>
        <w:tc>
          <w:tcPr>
            <w:tcW w:w="1010" w:type="dxa"/>
            <w:gridSpan w:val="2"/>
            <w:noWrap/>
            <w:hideMark/>
          </w:tcPr>
          <w:p w14:paraId="6F672E78"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1117" w:type="dxa"/>
            <w:noWrap/>
            <w:hideMark/>
          </w:tcPr>
          <w:p w14:paraId="646EA907" w14:textId="77777777" w:rsidR="00A73D5E" w:rsidRPr="00EC3B28" w:rsidRDefault="00A73D5E" w:rsidP="001545FE">
            <w:pPr>
              <w:jc w:val="center"/>
              <w:rPr>
                <w:rFonts w:eastAsia="Arial"/>
                <w:sz w:val="20"/>
                <w:szCs w:val="20"/>
              </w:rPr>
            </w:pPr>
            <w:r w:rsidRPr="00EC3B28">
              <w:rPr>
                <w:rFonts w:eastAsia="Arial"/>
                <w:sz w:val="20"/>
                <w:szCs w:val="20"/>
              </w:rPr>
              <w:t>x</w:t>
            </w:r>
          </w:p>
        </w:tc>
      </w:tr>
      <w:tr w:rsidR="00A73D5E" w:rsidRPr="00EC3B28" w14:paraId="7BAD65AE" w14:textId="77777777" w:rsidTr="00D53EAC">
        <w:trPr>
          <w:trHeight w:val="375"/>
        </w:trPr>
        <w:tc>
          <w:tcPr>
            <w:tcW w:w="1271" w:type="dxa"/>
            <w:vMerge/>
            <w:hideMark/>
          </w:tcPr>
          <w:p w14:paraId="270D1C95" w14:textId="77777777" w:rsidR="00A73D5E" w:rsidRPr="00EC3B28" w:rsidRDefault="00A73D5E" w:rsidP="001545FE">
            <w:pPr>
              <w:rPr>
                <w:rFonts w:eastAsia="Arial"/>
                <w:sz w:val="20"/>
                <w:szCs w:val="20"/>
              </w:rPr>
            </w:pPr>
          </w:p>
        </w:tc>
        <w:tc>
          <w:tcPr>
            <w:tcW w:w="964" w:type="dxa"/>
            <w:noWrap/>
            <w:hideMark/>
          </w:tcPr>
          <w:p w14:paraId="3D0E40A5" w14:textId="77777777" w:rsidR="00A73D5E" w:rsidRPr="00EC3B28" w:rsidRDefault="00A73D5E" w:rsidP="001545FE">
            <w:pPr>
              <w:rPr>
                <w:rFonts w:eastAsia="Arial"/>
                <w:sz w:val="20"/>
                <w:szCs w:val="20"/>
              </w:rPr>
            </w:pPr>
            <w:r w:rsidRPr="00EC3B28">
              <w:rPr>
                <w:rFonts w:eastAsia="Arial"/>
                <w:sz w:val="20"/>
                <w:szCs w:val="20"/>
              </w:rPr>
              <w:t>Quantitative</w:t>
            </w:r>
          </w:p>
        </w:tc>
        <w:tc>
          <w:tcPr>
            <w:tcW w:w="850" w:type="dxa"/>
            <w:noWrap/>
            <w:hideMark/>
          </w:tcPr>
          <w:p w14:paraId="66D2BC7A" w14:textId="77777777" w:rsidR="00A73D5E" w:rsidRPr="00EC3B28" w:rsidRDefault="00A73D5E" w:rsidP="001545FE">
            <w:pPr>
              <w:jc w:val="center"/>
              <w:rPr>
                <w:rFonts w:eastAsia="Arial"/>
                <w:sz w:val="20"/>
                <w:szCs w:val="20"/>
              </w:rPr>
            </w:pPr>
            <w:r w:rsidRPr="00EC3B28">
              <w:rPr>
                <w:rFonts w:eastAsia="Arial"/>
                <w:sz w:val="20"/>
                <w:szCs w:val="20"/>
              </w:rPr>
              <w:t>A, B</w:t>
            </w:r>
          </w:p>
        </w:tc>
        <w:tc>
          <w:tcPr>
            <w:tcW w:w="752" w:type="dxa"/>
          </w:tcPr>
          <w:p w14:paraId="3D95798D" w14:textId="77777777" w:rsidR="00A73D5E" w:rsidRPr="00EC3B28" w:rsidRDefault="00A73D5E" w:rsidP="001545FE">
            <w:pPr>
              <w:jc w:val="center"/>
              <w:rPr>
                <w:rFonts w:eastAsia="Arial"/>
                <w:sz w:val="20"/>
                <w:szCs w:val="20"/>
              </w:rPr>
            </w:pPr>
          </w:p>
        </w:tc>
        <w:tc>
          <w:tcPr>
            <w:tcW w:w="617" w:type="dxa"/>
            <w:noWrap/>
            <w:hideMark/>
          </w:tcPr>
          <w:p w14:paraId="2A64D8E9" w14:textId="77777777" w:rsidR="00A73D5E" w:rsidRPr="00EC3B28" w:rsidRDefault="00A73D5E" w:rsidP="001545FE">
            <w:pPr>
              <w:jc w:val="center"/>
              <w:rPr>
                <w:rFonts w:eastAsia="Arial"/>
                <w:sz w:val="20"/>
                <w:szCs w:val="20"/>
              </w:rPr>
            </w:pPr>
          </w:p>
        </w:tc>
        <w:tc>
          <w:tcPr>
            <w:tcW w:w="694" w:type="dxa"/>
            <w:noWrap/>
            <w:hideMark/>
          </w:tcPr>
          <w:p w14:paraId="79E22F71"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993" w:type="dxa"/>
            <w:noWrap/>
            <w:hideMark/>
          </w:tcPr>
          <w:p w14:paraId="75430938"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992" w:type="dxa"/>
            <w:noWrap/>
            <w:hideMark/>
          </w:tcPr>
          <w:p w14:paraId="27C59D42"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850" w:type="dxa"/>
            <w:noWrap/>
            <w:hideMark/>
          </w:tcPr>
          <w:p w14:paraId="632EC6D0"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1010" w:type="dxa"/>
            <w:gridSpan w:val="2"/>
            <w:noWrap/>
            <w:hideMark/>
          </w:tcPr>
          <w:p w14:paraId="148E119A" w14:textId="77777777" w:rsidR="00A73D5E" w:rsidRPr="00EC3B28" w:rsidRDefault="00A73D5E" w:rsidP="001545FE">
            <w:pPr>
              <w:jc w:val="center"/>
              <w:rPr>
                <w:rFonts w:eastAsia="Arial"/>
                <w:sz w:val="20"/>
                <w:szCs w:val="20"/>
              </w:rPr>
            </w:pPr>
            <w:r w:rsidRPr="00EC3B28">
              <w:rPr>
                <w:rFonts w:eastAsia="Arial"/>
                <w:sz w:val="20"/>
                <w:szCs w:val="20"/>
              </w:rPr>
              <w:t>x</w:t>
            </w:r>
          </w:p>
        </w:tc>
        <w:tc>
          <w:tcPr>
            <w:tcW w:w="1117" w:type="dxa"/>
            <w:noWrap/>
            <w:hideMark/>
          </w:tcPr>
          <w:p w14:paraId="2945F3F9" w14:textId="77777777" w:rsidR="00A73D5E" w:rsidRPr="00EC3B28" w:rsidRDefault="00A73D5E" w:rsidP="001545FE">
            <w:pPr>
              <w:jc w:val="center"/>
              <w:rPr>
                <w:rFonts w:eastAsia="Arial"/>
                <w:sz w:val="20"/>
                <w:szCs w:val="20"/>
              </w:rPr>
            </w:pPr>
            <w:r w:rsidRPr="00EC3B28">
              <w:rPr>
                <w:rFonts w:eastAsia="Arial"/>
                <w:sz w:val="20"/>
                <w:szCs w:val="20"/>
              </w:rPr>
              <w:t>x</w:t>
            </w:r>
          </w:p>
        </w:tc>
      </w:tr>
    </w:tbl>
    <w:p w14:paraId="4622B654" w14:textId="74FF88DC" w:rsidR="00A73D5E" w:rsidRPr="00EC3B28" w:rsidRDefault="00A73D5E" w:rsidP="00A73D5E">
      <w:pPr>
        <w:spacing w:after="0"/>
        <w:rPr>
          <w:rFonts w:eastAsia="Arial"/>
          <w:sz w:val="20"/>
          <w:szCs w:val="20"/>
        </w:rPr>
      </w:pPr>
      <w:r w:rsidRPr="00EC3B28">
        <w:rPr>
          <w:rFonts w:eastAsia="Arial"/>
          <w:sz w:val="20"/>
          <w:szCs w:val="20"/>
        </w:rPr>
        <w:lastRenderedPageBreak/>
        <w:t xml:space="preserve">X: </w:t>
      </w:r>
      <w:r w:rsidR="0092680A">
        <w:rPr>
          <w:rFonts w:eastAsia="Arial"/>
          <w:sz w:val="20"/>
          <w:szCs w:val="20"/>
        </w:rPr>
        <w:t>I</w:t>
      </w:r>
      <w:r w:rsidRPr="00EC3B28">
        <w:rPr>
          <w:rFonts w:eastAsia="Arial"/>
          <w:sz w:val="20"/>
          <w:szCs w:val="20"/>
        </w:rPr>
        <w:t>t is required to prove by means of the validation that the requirements for the performance characteristic are met.</w:t>
      </w:r>
    </w:p>
    <w:p w14:paraId="3CB98092" w14:textId="431F957C" w:rsidR="00A73D5E" w:rsidRPr="00EC3B28" w:rsidRDefault="00A73D5E" w:rsidP="00A73D5E">
      <w:pPr>
        <w:spacing w:after="0"/>
        <w:rPr>
          <w:rFonts w:eastAsiaTheme="minorEastAsia"/>
          <w:sz w:val="20"/>
          <w:szCs w:val="20"/>
        </w:rPr>
      </w:pPr>
      <w:r w:rsidRPr="00EC3B28">
        <w:rPr>
          <w:rFonts w:eastAsiaTheme="minorEastAsia"/>
          <w:sz w:val="20"/>
          <w:szCs w:val="20"/>
        </w:rPr>
        <w:t xml:space="preserve">(x) The precision </w:t>
      </w:r>
      <w:r w:rsidRPr="00EC3B28">
        <w:rPr>
          <w:rFonts w:eastAsia="Arial"/>
          <w:sz w:val="20"/>
          <w:szCs w:val="20"/>
        </w:rPr>
        <w:t>requirements of chapter 1.2.2.2 do</w:t>
      </w:r>
      <w:r w:rsidR="00065CA3">
        <w:rPr>
          <w:rFonts w:eastAsia="Arial"/>
          <w:sz w:val="20"/>
          <w:szCs w:val="20"/>
        </w:rPr>
        <w:t xml:space="preserve"> </w:t>
      </w:r>
      <w:r w:rsidRPr="00EC3B28">
        <w:rPr>
          <w:rFonts w:eastAsia="Arial"/>
          <w:sz w:val="20"/>
          <w:szCs w:val="20"/>
        </w:rPr>
        <w:t>n</w:t>
      </w:r>
      <w:r w:rsidR="00065CA3">
        <w:rPr>
          <w:rFonts w:eastAsia="Arial"/>
          <w:sz w:val="20"/>
          <w:szCs w:val="20"/>
        </w:rPr>
        <w:t>o</w:t>
      </w:r>
      <w:r w:rsidR="0092680A">
        <w:rPr>
          <w:rFonts w:eastAsia="Arial"/>
          <w:sz w:val="20"/>
          <w:szCs w:val="20"/>
        </w:rPr>
        <w:t>t</w:t>
      </w:r>
      <w:r w:rsidRPr="00EC3B28">
        <w:rPr>
          <w:rFonts w:eastAsia="Arial"/>
          <w:sz w:val="20"/>
          <w:szCs w:val="20"/>
        </w:rPr>
        <w:t xml:space="preserve"> need to be met for semi-quantitative screening methods. However, the precision shall be determined to prove the suitability of the method for avoiding false compliant analytical results.  </w:t>
      </w:r>
    </w:p>
    <w:p w14:paraId="3BE76571" w14:textId="77777777" w:rsidR="00A73D5E" w:rsidRPr="00EC3B28" w:rsidRDefault="00A73D5E" w:rsidP="00A73D5E">
      <w:pPr>
        <w:spacing w:after="0"/>
        <w:rPr>
          <w:rFonts w:eastAsia="Arial"/>
          <w:sz w:val="20"/>
          <w:szCs w:val="20"/>
        </w:rPr>
      </w:pPr>
      <w:r w:rsidRPr="00EC3B28">
        <w:rPr>
          <w:rFonts w:eastAsia="Arial"/>
          <w:sz w:val="20"/>
          <w:szCs w:val="20"/>
        </w:rPr>
        <w:t xml:space="preserve">A: prohibited or unauthorised substances as defined under </w:t>
      </w:r>
      <w:r w:rsidRPr="004E5BE9">
        <w:rPr>
          <w:rFonts w:eastAsia="Arial"/>
          <w:sz w:val="20"/>
          <w:szCs w:val="20"/>
          <w:highlight w:val="yellow"/>
        </w:rPr>
        <w:t>SANTE 2017/11987</w:t>
      </w:r>
    </w:p>
    <w:p w14:paraId="372B7612" w14:textId="77777777" w:rsidR="00A73D5E" w:rsidRPr="00EC3B28" w:rsidRDefault="00A73D5E" w:rsidP="00A73D5E">
      <w:pPr>
        <w:spacing w:after="0"/>
        <w:rPr>
          <w:rFonts w:eastAsia="Arial"/>
          <w:sz w:val="20"/>
          <w:szCs w:val="20"/>
        </w:rPr>
      </w:pPr>
      <w:r w:rsidRPr="00EC3B28">
        <w:rPr>
          <w:rFonts w:eastAsia="Arial"/>
          <w:sz w:val="20"/>
          <w:szCs w:val="20"/>
        </w:rPr>
        <w:t xml:space="preserve">B: authorised substances as defined under </w:t>
      </w:r>
      <w:r w:rsidRPr="004E5BE9">
        <w:rPr>
          <w:rFonts w:eastAsia="Arial"/>
          <w:sz w:val="20"/>
          <w:szCs w:val="20"/>
          <w:highlight w:val="yellow"/>
        </w:rPr>
        <w:t>SANTE 2017/11987</w:t>
      </w:r>
    </w:p>
    <w:p w14:paraId="195D5819" w14:textId="0F4EE3F5" w:rsidR="00A73D5E" w:rsidRPr="00EC3B28" w:rsidRDefault="00517E9E" w:rsidP="00A73D5E">
      <w:pPr>
        <w:spacing w:after="0"/>
        <w:rPr>
          <w:rFonts w:eastAsia="Arial"/>
          <w:sz w:val="20"/>
          <w:szCs w:val="20"/>
        </w:rPr>
      </w:pPr>
      <w:r>
        <w:rPr>
          <w:rFonts w:eastAsia="Arial"/>
          <w:sz w:val="20"/>
          <w:szCs w:val="20"/>
        </w:rPr>
        <w:t xml:space="preserve">## </w:t>
      </w:r>
      <w:r w:rsidR="00A73D5E" w:rsidRPr="00EC3B28">
        <w:rPr>
          <w:rFonts w:eastAsia="Arial"/>
          <w:sz w:val="20"/>
          <w:szCs w:val="20"/>
        </w:rPr>
        <w:t>If stability data for analytes in matrix are available from scientific literature or from another laborato</w:t>
      </w:r>
      <w:r w:rsidR="005F04CA">
        <w:rPr>
          <w:rFonts w:eastAsia="Arial"/>
          <w:sz w:val="20"/>
          <w:szCs w:val="20"/>
        </w:rPr>
        <w:t>r</w:t>
      </w:r>
      <w:r w:rsidR="00A73D5E" w:rsidRPr="00EC3B28">
        <w:rPr>
          <w:rFonts w:eastAsia="Arial"/>
          <w:sz w:val="20"/>
          <w:szCs w:val="20"/>
        </w:rPr>
        <w:t>y, these data do not need to be determined again by the concerned laboratory. However</w:t>
      </w:r>
      <w:r w:rsidR="005F04CA">
        <w:rPr>
          <w:rFonts w:eastAsia="Arial"/>
          <w:sz w:val="20"/>
          <w:szCs w:val="20"/>
        </w:rPr>
        <w:t>,</w:t>
      </w:r>
      <w:r w:rsidR="00A73D5E" w:rsidRPr="00EC3B28">
        <w:rPr>
          <w:rFonts w:eastAsia="Arial"/>
          <w:sz w:val="20"/>
          <w:szCs w:val="20"/>
        </w:rPr>
        <w:t xml:space="preserve"> a reference to available stability data of analytes in solution is only acceptable if identical conditions are applied.</w:t>
      </w:r>
    </w:p>
    <w:p w14:paraId="2D097C78" w14:textId="63CD6F76" w:rsidR="00A73D5E" w:rsidRDefault="00A73D5E" w:rsidP="00A73D5E">
      <w:pPr>
        <w:spacing w:after="0"/>
        <w:rPr>
          <w:rFonts w:eastAsia="Arial"/>
          <w:sz w:val="20"/>
          <w:szCs w:val="20"/>
        </w:rPr>
      </w:pPr>
      <w:r w:rsidRPr="00EC3B28">
        <w:rPr>
          <w:rFonts w:eastAsia="Arial"/>
          <w:sz w:val="20"/>
          <w:szCs w:val="20"/>
        </w:rPr>
        <w:t>** Relevant for MS methods to prove by means of the validation that the requirements for the performance characteristics are met.</w:t>
      </w:r>
    </w:p>
    <w:p w14:paraId="5B39DC4E" w14:textId="77777777" w:rsidR="00725F0F" w:rsidRPr="00EC3B28" w:rsidRDefault="00725F0F" w:rsidP="00A73D5E">
      <w:pPr>
        <w:spacing w:after="0"/>
        <w:rPr>
          <w:rFonts w:eastAsia="Arial"/>
          <w:sz w:val="20"/>
          <w:szCs w:val="20"/>
        </w:rPr>
      </w:pPr>
    </w:p>
    <w:p w14:paraId="5FF8C2B6" w14:textId="5FAC733A" w:rsidR="00A73D5E" w:rsidRPr="00EC3B28" w:rsidRDefault="00A73D5E" w:rsidP="00A73D5E">
      <w:pPr>
        <w:pStyle w:val="Heading2"/>
        <w:rPr>
          <w:rFonts w:ascii="Times New Roman" w:hAnsi="Times New Roman" w:cs="Times New Roman"/>
          <w:color w:val="000000" w:themeColor="text1"/>
          <w:sz w:val="20"/>
          <w:szCs w:val="20"/>
        </w:rPr>
      </w:pPr>
      <w:bookmarkStart w:id="36" w:name="_Toc5193397"/>
      <w:r w:rsidRPr="00EC3B28">
        <w:rPr>
          <w:rFonts w:ascii="Times New Roman" w:hAnsi="Times New Roman" w:cs="Times New Roman"/>
          <w:color w:val="000000" w:themeColor="text1"/>
          <w:sz w:val="20"/>
          <w:szCs w:val="20"/>
        </w:rPr>
        <w:t>2.2 Trueness, repeatability and within-laboratory reproducibility</w:t>
      </w:r>
      <w:bookmarkEnd w:id="36"/>
      <w:r w:rsidRPr="00EC3B28">
        <w:rPr>
          <w:rFonts w:ascii="Times New Roman" w:hAnsi="Times New Roman" w:cs="Times New Roman"/>
          <w:color w:val="000000" w:themeColor="text1"/>
          <w:sz w:val="20"/>
          <w:szCs w:val="20"/>
        </w:rPr>
        <w:t xml:space="preserve"> </w:t>
      </w:r>
    </w:p>
    <w:p w14:paraId="6552A605" w14:textId="47847FB6" w:rsidR="00A73D5E" w:rsidRPr="00EC3B28" w:rsidRDefault="00A73D5E" w:rsidP="00A73D5E">
      <w:pPr>
        <w:rPr>
          <w:rFonts w:eastAsia="Arial"/>
          <w:sz w:val="20"/>
          <w:szCs w:val="20"/>
        </w:rPr>
      </w:pPr>
      <w:r w:rsidRPr="00EC3B28">
        <w:rPr>
          <w:rFonts w:eastAsia="Arial"/>
          <w:sz w:val="20"/>
          <w:szCs w:val="20"/>
        </w:rPr>
        <w:t xml:space="preserve">This chapter provides examples and/or references for validation procedures. Other approaches to demonstrate that the method complies with performance criteria may be used, provided that they achieve the same level and quality of information. </w:t>
      </w:r>
    </w:p>
    <w:p w14:paraId="2EB7E8DB" w14:textId="77777777" w:rsidR="00A73D5E" w:rsidRPr="00EC3B28" w:rsidRDefault="00A73D5E" w:rsidP="00A73D5E">
      <w:pPr>
        <w:pStyle w:val="Heading3"/>
        <w:rPr>
          <w:rFonts w:ascii="Times New Roman" w:hAnsi="Times New Roman" w:cs="Times New Roman"/>
          <w:color w:val="000000" w:themeColor="text1"/>
          <w:sz w:val="20"/>
          <w:szCs w:val="20"/>
        </w:rPr>
      </w:pPr>
      <w:bookmarkStart w:id="37" w:name="_Toc535221042"/>
      <w:bookmarkStart w:id="38" w:name="_Toc5193398"/>
      <w:r w:rsidRPr="00EC3B28">
        <w:rPr>
          <w:rFonts w:ascii="Times New Roman" w:hAnsi="Times New Roman" w:cs="Times New Roman"/>
          <w:color w:val="000000" w:themeColor="text1"/>
          <w:sz w:val="20"/>
          <w:szCs w:val="20"/>
        </w:rPr>
        <w:t>2.2.1 Conventional validation</w:t>
      </w:r>
      <w:bookmarkEnd w:id="37"/>
      <w:bookmarkEnd w:id="38"/>
    </w:p>
    <w:p w14:paraId="4CFF1608" w14:textId="0109C173" w:rsidR="00A73D5E" w:rsidRDefault="00A73D5E" w:rsidP="00A73D5E">
      <w:pPr>
        <w:spacing w:after="0"/>
        <w:rPr>
          <w:rFonts w:eastAsiaTheme="minorEastAsia"/>
          <w:sz w:val="20"/>
          <w:szCs w:val="20"/>
        </w:rPr>
      </w:pPr>
      <w:r w:rsidRPr="00EC3B28">
        <w:rPr>
          <w:rFonts w:eastAsiaTheme="minorEastAsia"/>
          <w:sz w:val="20"/>
          <w:szCs w:val="20"/>
        </w:rPr>
        <w:t>The calculation of the parameters in accordance with conventional methods requires the performance of several individual experiments. Each performance characteristic has to be determined for each major change (see under applicability/ruggedness below). For multi-analyte methods, several analytes can be analysed simultaneously, as long as possibly relevant interferences have been ruled out. Several performance characteristics can be determined in a similar way. Therefore, in order to minimise the workload, it is advised to combine experiments as much as possible (e.g., repeatability and within-laboratory reproducibility with specificity, analysis of blank samples to determine the decision limit and testing for specificity).</w:t>
      </w:r>
    </w:p>
    <w:p w14:paraId="6E4F15B1" w14:textId="77777777" w:rsidR="005F53E1" w:rsidRPr="00EC3B28" w:rsidRDefault="005F53E1" w:rsidP="00A73D5E">
      <w:pPr>
        <w:spacing w:after="0"/>
        <w:rPr>
          <w:rFonts w:eastAsiaTheme="minorEastAsia"/>
          <w:sz w:val="20"/>
          <w:szCs w:val="20"/>
        </w:rPr>
      </w:pPr>
    </w:p>
    <w:p w14:paraId="35BA7CC2" w14:textId="77777777" w:rsidR="00A73D5E" w:rsidRPr="00EC3B28" w:rsidRDefault="00A73D5E" w:rsidP="00A73D5E">
      <w:pPr>
        <w:pStyle w:val="Heading4"/>
        <w:rPr>
          <w:rFonts w:ascii="Times New Roman" w:hAnsi="Times New Roman" w:cs="Times New Roman"/>
          <w:b/>
          <w:color w:val="000000" w:themeColor="text1"/>
          <w:sz w:val="20"/>
          <w:szCs w:val="20"/>
        </w:rPr>
      </w:pPr>
      <w:bookmarkStart w:id="39" w:name="_Toc535221043"/>
      <w:bookmarkStart w:id="40" w:name="_Toc5193399"/>
      <w:r w:rsidRPr="00EC3B28">
        <w:rPr>
          <w:rFonts w:ascii="Times New Roman" w:hAnsi="Times New Roman" w:cs="Times New Roman"/>
          <w:b/>
          <w:color w:val="000000" w:themeColor="text1"/>
          <w:sz w:val="20"/>
          <w:szCs w:val="20"/>
        </w:rPr>
        <w:t xml:space="preserve">2.2.1.1 Trueness on the basis of </w:t>
      </w:r>
      <w:bookmarkEnd w:id="39"/>
      <w:r w:rsidRPr="00EC3B28">
        <w:rPr>
          <w:rFonts w:ascii="Times New Roman" w:hAnsi="Times New Roman" w:cs="Times New Roman"/>
          <w:b/>
          <w:color w:val="000000" w:themeColor="text1"/>
          <w:sz w:val="20"/>
          <w:szCs w:val="20"/>
        </w:rPr>
        <w:t>a certified reference material</w:t>
      </w:r>
      <w:bookmarkEnd w:id="40"/>
    </w:p>
    <w:p w14:paraId="4E50FA1D" w14:textId="751B7207" w:rsidR="00A73D5E" w:rsidRPr="00EC3B28" w:rsidRDefault="00A73D5E" w:rsidP="00A73D5E">
      <w:pPr>
        <w:spacing w:after="0"/>
        <w:rPr>
          <w:rFonts w:eastAsiaTheme="minorEastAsia"/>
          <w:sz w:val="20"/>
          <w:szCs w:val="20"/>
        </w:rPr>
      </w:pPr>
      <w:r w:rsidRPr="00EC3B28">
        <w:rPr>
          <w:rFonts w:eastAsiaTheme="minorEastAsia"/>
          <w:sz w:val="20"/>
          <w:szCs w:val="20"/>
        </w:rPr>
        <w:t>It is preferred to determine the trueness of an analytical method by means of certified reference material (CRM). The procedure for this is described in ISO 5725-4</w:t>
      </w:r>
      <w:bookmarkStart w:id="41" w:name="_Ref6317126"/>
      <w:r w:rsidR="0092680A">
        <w:rPr>
          <w:rFonts w:eastAsiaTheme="minorEastAsia"/>
          <w:sz w:val="20"/>
          <w:szCs w:val="20"/>
        </w:rPr>
        <w:t>:1994</w:t>
      </w:r>
      <w:r w:rsidR="0096783E" w:rsidRPr="00EC3B28">
        <w:rPr>
          <w:rStyle w:val="FootnoteReference"/>
          <w:rFonts w:eastAsiaTheme="minorEastAsia"/>
          <w:sz w:val="20"/>
          <w:szCs w:val="20"/>
        </w:rPr>
        <w:footnoteReference w:id="1"/>
      </w:r>
      <w:bookmarkEnd w:id="41"/>
      <w:r w:rsidRPr="00EC3B28">
        <w:rPr>
          <w:rFonts w:eastAsiaTheme="minorEastAsia"/>
          <w:sz w:val="20"/>
          <w:szCs w:val="20"/>
        </w:rPr>
        <w:t xml:space="preserve">. </w:t>
      </w:r>
    </w:p>
    <w:p w14:paraId="4AC43ED9" w14:textId="45E565DC" w:rsidR="00A73D5E" w:rsidRPr="00EC3B28" w:rsidRDefault="00A73D5E" w:rsidP="00A73D5E">
      <w:pPr>
        <w:spacing w:after="0"/>
        <w:rPr>
          <w:rFonts w:eastAsiaTheme="minorEastAsia"/>
          <w:sz w:val="20"/>
          <w:szCs w:val="20"/>
        </w:rPr>
      </w:pPr>
      <w:r w:rsidRPr="00EC3B28">
        <w:rPr>
          <w:rFonts w:eastAsiaTheme="minorEastAsia"/>
          <w:sz w:val="20"/>
          <w:szCs w:val="20"/>
        </w:rPr>
        <w:t>An example is given below:</w:t>
      </w:r>
    </w:p>
    <w:p w14:paraId="65ABE20C" w14:textId="77777777" w:rsidR="00A73D5E" w:rsidRPr="00EC3B28" w:rsidRDefault="00A73D5E" w:rsidP="00A73D5E">
      <w:pPr>
        <w:spacing w:after="0"/>
        <w:rPr>
          <w:rFonts w:eastAsiaTheme="minorEastAsia"/>
          <w:sz w:val="20"/>
          <w:szCs w:val="20"/>
        </w:rPr>
      </w:pPr>
      <w:r w:rsidRPr="00EC3B28">
        <w:rPr>
          <w:rFonts w:eastAsiaTheme="minorEastAsia"/>
          <w:sz w:val="20"/>
          <w:szCs w:val="20"/>
        </w:rPr>
        <w:t>- analyse six replicates of the CRM in accordance with the test instructions for the method,</w:t>
      </w:r>
    </w:p>
    <w:p w14:paraId="0E0BD0B0" w14:textId="77777777" w:rsidR="00A73D5E" w:rsidRPr="00EC3B28" w:rsidRDefault="00A73D5E" w:rsidP="00A73D5E">
      <w:pPr>
        <w:spacing w:after="0"/>
        <w:rPr>
          <w:rFonts w:eastAsiaTheme="minorEastAsia"/>
          <w:sz w:val="20"/>
          <w:szCs w:val="20"/>
        </w:rPr>
      </w:pPr>
      <w:r w:rsidRPr="00EC3B28">
        <w:rPr>
          <w:rFonts w:eastAsiaTheme="minorEastAsia"/>
          <w:sz w:val="20"/>
          <w:szCs w:val="20"/>
        </w:rPr>
        <w:t>- determine the concentration of the analyte present in each sample of the replicates,</w:t>
      </w:r>
    </w:p>
    <w:p w14:paraId="765199BF" w14:textId="77777777" w:rsidR="00A73D5E" w:rsidRPr="00EC3B28" w:rsidRDefault="00A73D5E" w:rsidP="00A73D5E">
      <w:pPr>
        <w:spacing w:after="0"/>
        <w:rPr>
          <w:rFonts w:eastAsiaTheme="minorEastAsia"/>
          <w:sz w:val="20"/>
          <w:szCs w:val="20"/>
        </w:rPr>
      </w:pPr>
      <w:r w:rsidRPr="00EC3B28">
        <w:rPr>
          <w:rFonts w:eastAsiaTheme="minorEastAsia"/>
          <w:sz w:val="20"/>
          <w:szCs w:val="20"/>
        </w:rPr>
        <w:t xml:space="preserve">- calculate the mean, the standard deviation and the coefficient of variation (%) </w:t>
      </w:r>
      <w:r w:rsidRPr="00EC3B28">
        <w:rPr>
          <w:rFonts w:eastAsiaTheme="minorEastAsia"/>
          <w:i/>
          <w:iCs/>
          <w:sz w:val="20"/>
          <w:szCs w:val="20"/>
        </w:rPr>
        <w:t>for these six replicates</w:t>
      </w:r>
      <w:r w:rsidRPr="00EC3B28">
        <w:rPr>
          <w:rFonts w:eastAsiaTheme="minorEastAsia"/>
          <w:sz w:val="20"/>
          <w:szCs w:val="20"/>
        </w:rPr>
        <w:t>,</w:t>
      </w:r>
    </w:p>
    <w:p w14:paraId="33841BDD" w14:textId="24EE93F8" w:rsidR="00A73D5E" w:rsidRPr="00EC3B28" w:rsidRDefault="00A73D5E" w:rsidP="00A73D5E">
      <w:pPr>
        <w:spacing w:after="0"/>
        <w:rPr>
          <w:rFonts w:eastAsiaTheme="minorEastAsia"/>
          <w:sz w:val="20"/>
          <w:szCs w:val="20"/>
        </w:rPr>
      </w:pPr>
      <w:r w:rsidRPr="00EC3B28">
        <w:rPr>
          <w:rFonts w:eastAsiaTheme="minorEastAsia"/>
          <w:sz w:val="20"/>
          <w:szCs w:val="20"/>
        </w:rPr>
        <w:t>- calculate the trueness by dividing the detected mean concentration by the certified value (measured as concentration) and multiply by 100, to express the result as a percentage.</w:t>
      </w:r>
    </w:p>
    <w:p w14:paraId="6C5CB262" w14:textId="35E96C3F" w:rsidR="00A73D5E" w:rsidRPr="00EC3B28" w:rsidRDefault="00A73D5E" w:rsidP="00A73D5E">
      <w:pPr>
        <w:spacing w:after="0"/>
        <w:ind w:left="720"/>
        <w:rPr>
          <w:rFonts w:eastAsiaTheme="minorEastAsia"/>
          <w:sz w:val="20"/>
          <w:szCs w:val="20"/>
        </w:rPr>
      </w:pPr>
      <w:r w:rsidRPr="00EC3B28">
        <w:rPr>
          <w:rFonts w:eastAsiaTheme="minorEastAsia"/>
          <w:sz w:val="20"/>
          <w:szCs w:val="20"/>
        </w:rPr>
        <w:t>Trueness (%) = mean recovery-corrected concentration detected × 100/certified value.</w:t>
      </w:r>
    </w:p>
    <w:p w14:paraId="22E3187E" w14:textId="77777777" w:rsidR="00C176EB" w:rsidRPr="00EC3B28" w:rsidRDefault="00C176EB" w:rsidP="00A73D5E">
      <w:pPr>
        <w:spacing w:after="0"/>
        <w:ind w:left="720"/>
        <w:rPr>
          <w:rFonts w:eastAsiaTheme="minorEastAsia"/>
          <w:sz w:val="20"/>
          <w:szCs w:val="20"/>
        </w:rPr>
      </w:pPr>
    </w:p>
    <w:p w14:paraId="3B344187" w14:textId="60AFB8B8" w:rsidR="00A73D5E" w:rsidRPr="00EC3B28" w:rsidRDefault="00A73D5E" w:rsidP="00A73D5E">
      <w:pPr>
        <w:pStyle w:val="Heading4"/>
        <w:rPr>
          <w:rFonts w:ascii="Times New Roman" w:hAnsi="Times New Roman" w:cs="Times New Roman"/>
          <w:b/>
          <w:sz w:val="20"/>
          <w:szCs w:val="20"/>
        </w:rPr>
      </w:pPr>
      <w:bookmarkStart w:id="42" w:name="_Toc5193400"/>
      <w:r w:rsidRPr="00EC3B28">
        <w:rPr>
          <w:rFonts w:ascii="Times New Roman" w:hAnsi="Times New Roman" w:cs="Times New Roman"/>
          <w:b/>
          <w:color w:val="000000" w:themeColor="text1"/>
          <w:sz w:val="20"/>
          <w:szCs w:val="20"/>
        </w:rPr>
        <w:t xml:space="preserve">2.2.1.2 Trueness on basis of </w:t>
      </w:r>
      <w:r w:rsidR="00721E38">
        <w:rPr>
          <w:rFonts w:ascii="Times New Roman" w:hAnsi="Times New Roman" w:cs="Times New Roman"/>
          <w:b/>
          <w:color w:val="000000" w:themeColor="text1"/>
          <w:sz w:val="20"/>
          <w:szCs w:val="20"/>
        </w:rPr>
        <w:t>fortified</w:t>
      </w:r>
      <w:r w:rsidR="00721E38" w:rsidRPr="00EC3B28">
        <w:rPr>
          <w:rFonts w:ascii="Times New Roman" w:hAnsi="Times New Roman" w:cs="Times New Roman"/>
          <w:b/>
          <w:color w:val="000000" w:themeColor="text1"/>
          <w:sz w:val="20"/>
          <w:szCs w:val="20"/>
        </w:rPr>
        <w:t xml:space="preserve"> </w:t>
      </w:r>
      <w:r w:rsidRPr="00EC3B28">
        <w:rPr>
          <w:rFonts w:ascii="Times New Roman" w:hAnsi="Times New Roman" w:cs="Times New Roman"/>
          <w:b/>
          <w:color w:val="000000" w:themeColor="text1"/>
          <w:sz w:val="20"/>
          <w:szCs w:val="20"/>
        </w:rPr>
        <w:t>samples</w:t>
      </w:r>
      <w:bookmarkEnd w:id="42"/>
    </w:p>
    <w:p w14:paraId="5EC2AF7C" w14:textId="77777777" w:rsidR="00A73D5E" w:rsidRPr="00EC3B28" w:rsidRDefault="00A73D5E" w:rsidP="00A73D5E">
      <w:pPr>
        <w:spacing w:after="0"/>
        <w:rPr>
          <w:rFonts w:eastAsia="Arial"/>
          <w:sz w:val="20"/>
          <w:szCs w:val="20"/>
        </w:rPr>
      </w:pPr>
      <w:r w:rsidRPr="00EC3B28">
        <w:rPr>
          <w:rFonts w:eastAsia="Arial"/>
          <w:sz w:val="20"/>
          <w:szCs w:val="20"/>
        </w:rPr>
        <w:t xml:space="preserve">If no certified reference material is available, the trueness of the method shall be determined by experiments using a fortified blank matrix, as a minimum in accordance with the following scheme: </w:t>
      </w:r>
    </w:p>
    <w:p w14:paraId="52D6D4D1" w14:textId="77777777" w:rsidR="00A73D5E" w:rsidRPr="00EC3B28" w:rsidRDefault="00A73D5E" w:rsidP="00A73D5E">
      <w:pPr>
        <w:spacing w:after="0"/>
        <w:rPr>
          <w:rFonts w:eastAsia="Arial"/>
          <w:sz w:val="20"/>
          <w:szCs w:val="20"/>
        </w:rPr>
      </w:pPr>
      <w:r w:rsidRPr="00EC3B28">
        <w:rPr>
          <w:rFonts w:eastAsia="Arial"/>
          <w:sz w:val="20"/>
          <w:szCs w:val="20"/>
        </w:rPr>
        <w:t xml:space="preserve">- For methods validated from the date of application of this Regulation, select 18 aliquots of a blank material and fortify six aliquots at a concentration of </w:t>
      </w:r>
    </w:p>
    <w:p w14:paraId="16AF3E9A" w14:textId="43579879" w:rsidR="00A73D5E" w:rsidRPr="00EC3B28" w:rsidRDefault="00A73D5E" w:rsidP="00A73D5E">
      <w:pPr>
        <w:spacing w:after="0"/>
        <w:rPr>
          <w:rFonts w:eastAsia="Arial"/>
          <w:sz w:val="20"/>
          <w:szCs w:val="20"/>
        </w:rPr>
      </w:pPr>
      <w:r w:rsidRPr="00EC3B28">
        <w:rPr>
          <w:rFonts w:eastAsia="Arial"/>
          <w:sz w:val="20"/>
          <w:szCs w:val="20"/>
        </w:rPr>
        <w:t>-</w:t>
      </w:r>
      <w:r w:rsidR="00793651">
        <w:rPr>
          <w:rFonts w:eastAsia="Arial"/>
          <w:sz w:val="20"/>
          <w:szCs w:val="20"/>
        </w:rPr>
        <w:t xml:space="preserve"> </w:t>
      </w:r>
      <w:r w:rsidRPr="00EC3B28">
        <w:rPr>
          <w:rFonts w:eastAsia="Arial"/>
          <w:sz w:val="20"/>
          <w:szCs w:val="20"/>
        </w:rPr>
        <w:t>0.5, 1.0 and 1.5 times the RPA</w:t>
      </w:r>
    </w:p>
    <w:p w14:paraId="5C016A44" w14:textId="2054E71B" w:rsidR="00A73D5E" w:rsidRPr="00EC3B28" w:rsidRDefault="00A73D5E" w:rsidP="00A73D5E">
      <w:pPr>
        <w:spacing w:after="0"/>
        <w:rPr>
          <w:rFonts w:eastAsia="Arial"/>
          <w:sz w:val="20"/>
          <w:szCs w:val="20"/>
        </w:rPr>
      </w:pPr>
      <w:r w:rsidRPr="00EC3B28">
        <w:rPr>
          <w:rFonts w:eastAsia="Arial"/>
          <w:sz w:val="20"/>
          <w:szCs w:val="20"/>
        </w:rPr>
        <w:t>-</w:t>
      </w:r>
      <w:r w:rsidR="00793651">
        <w:rPr>
          <w:rFonts w:eastAsia="Arial"/>
          <w:sz w:val="20"/>
          <w:szCs w:val="20"/>
        </w:rPr>
        <w:t xml:space="preserve"> </w:t>
      </w:r>
      <w:r w:rsidRPr="00EC3B28">
        <w:rPr>
          <w:rFonts w:eastAsia="Arial"/>
          <w:sz w:val="20"/>
          <w:szCs w:val="20"/>
        </w:rPr>
        <w:t>1, 1.5 and 2 times the LCL for unauthorised substances</w:t>
      </w:r>
      <w:r w:rsidR="00721E38">
        <w:rPr>
          <w:rFonts w:eastAsia="Arial"/>
          <w:sz w:val="20"/>
          <w:szCs w:val="20"/>
        </w:rPr>
        <w:t xml:space="preserve"> (that do not have the RPA)</w:t>
      </w:r>
    </w:p>
    <w:p w14:paraId="3D56A81E" w14:textId="2DF72F0F" w:rsidR="00A73D5E" w:rsidRPr="00EC3B28" w:rsidRDefault="00A73D5E" w:rsidP="00A73D5E">
      <w:pPr>
        <w:spacing w:after="0"/>
        <w:rPr>
          <w:rFonts w:eastAsia="Arial"/>
          <w:sz w:val="20"/>
          <w:szCs w:val="20"/>
        </w:rPr>
      </w:pPr>
      <w:r w:rsidRPr="00EC3B28">
        <w:rPr>
          <w:rFonts w:eastAsia="Arial"/>
          <w:sz w:val="20"/>
          <w:szCs w:val="20"/>
        </w:rPr>
        <w:t>-</w:t>
      </w:r>
      <w:r w:rsidR="00793651">
        <w:rPr>
          <w:rFonts w:eastAsia="Arial"/>
          <w:sz w:val="20"/>
          <w:szCs w:val="20"/>
        </w:rPr>
        <w:t xml:space="preserve"> </w:t>
      </w:r>
      <w:r w:rsidRPr="00EC3B28">
        <w:rPr>
          <w:rFonts w:eastAsia="Arial"/>
          <w:sz w:val="20"/>
          <w:szCs w:val="20"/>
        </w:rPr>
        <w:t xml:space="preserve">0.1, 1.0 and 1.5 times the MRL or ML for authorised substances. </w:t>
      </w:r>
    </w:p>
    <w:p w14:paraId="1F15D8CD" w14:textId="77777777" w:rsidR="00725F0F" w:rsidRDefault="00725F0F" w:rsidP="00A73D5E">
      <w:pPr>
        <w:spacing w:after="0"/>
        <w:rPr>
          <w:rFonts w:eastAsia="Arial"/>
          <w:sz w:val="20"/>
          <w:szCs w:val="20"/>
        </w:rPr>
      </w:pPr>
    </w:p>
    <w:p w14:paraId="7C78BCC5" w14:textId="38909E4E" w:rsidR="00A73D5E" w:rsidRPr="00EC3B28" w:rsidRDefault="00A73D5E" w:rsidP="00A73D5E">
      <w:pPr>
        <w:spacing w:after="0"/>
        <w:rPr>
          <w:rFonts w:eastAsia="Arial"/>
          <w:sz w:val="20"/>
          <w:szCs w:val="20"/>
        </w:rPr>
      </w:pPr>
      <w:r w:rsidRPr="00EC3B28">
        <w:rPr>
          <w:rFonts w:eastAsia="Arial"/>
          <w:sz w:val="20"/>
          <w:szCs w:val="20"/>
        </w:rPr>
        <w:t>However</w:t>
      </w:r>
      <w:r w:rsidR="00793651">
        <w:rPr>
          <w:rFonts w:eastAsia="Arial"/>
          <w:sz w:val="20"/>
          <w:szCs w:val="20"/>
        </w:rPr>
        <w:t>,</w:t>
      </w:r>
      <w:r w:rsidRPr="00EC3B28">
        <w:rPr>
          <w:rFonts w:eastAsia="Arial"/>
          <w:sz w:val="20"/>
          <w:szCs w:val="20"/>
        </w:rPr>
        <w:t xml:space="preserve"> for methods for authorised substances validated before the date of application, a determination of the trueness of the method using 6 fortified aliquots at 0.5, 1.0 and 1.5 times the MRL or ML is sufficient.</w:t>
      </w:r>
    </w:p>
    <w:p w14:paraId="3EEEDCEF" w14:textId="45F11FEA" w:rsidR="00A73D5E" w:rsidRPr="00EC3B28" w:rsidRDefault="00A73D5E" w:rsidP="00A73D5E">
      <w:pPr>
        <w:spacing w:after="0"/>
        <w:rPr>
          <w:sz w:val="20"/>
          <w:szCs w:val="20"/>
        </w:rPr>
      </w:pPr>
      <w:r w:rsidRPr="00EC3B28">
        <w:rPr>
          <w:rFonts w:eastAsia="Arial"/>
          <w:sz w:val="20"/>
          <w:szCs w:val="20"/>
        </w:rPr>
        <w:t>- Analyse the samples and calculate the concentration present in each sample</w:t>
      </w:r>
      <w:r w:rsidR="00793651">
        <w:rPr>
          <w:rFonts w:eastAsia="Arial"/>
          <w:sz w:val="20"/>
          <w:szCs w:val="20"/>
        </w:rPr>
        <w:t>.</w:t>
      </w:r>
      <w:r w:rsidRPr="00EC3B28">
        <w:rPr>
          <w:rFonts w:eastAsia="Arial"/>
          <w:sz w:val="20"/>
          <w:szCs w:val="20"/>
        </w:rPr>
        <w:t xml:space="preserve"> </w:t>
      </w:r>
    </w:p>
    <w:p w14:paraId="6C9E90F7" w14:textId="2D0FC357" w:rsidR="00A73D5E" w:rsidRPr="00EC3B28" w:rsidRDefault="00A73D5E" w:rsidP="00A73D5E">
      <w:pPr>
        <w:spacing w:after="0"/>
        <w:rPr>
          <w:sz w:val="20"/>
          <w:szCs w:val="20"/>
        </w:rPr>
      </w:pPr>
      <w:r w:rsidRPr="00EC3B28">
        <w:rPr>
          <w:rFonts w:eastAsia="Arial"/>
          <w:sz w:val="20"/>
          <w:szCs w:val="20"/>
        </w:rPr>
        <w:t xml:space="preserve">- Calculate the trueness for each sample using the equation below and subsequently calculate the mean trueness and variation coefficient for the six results at each concentration level, </w:t>
      </w:r>
    </w:p>
    <w:p w14:paraId="1A2C5343" w14:textId="1BF6D4EF" w:rsidR="00A73D5E" w:rsidRPr="00EC3B28" w:rsidRDefault="00A73D5E" w:rsidP="00A73D5E">
      <w:pPr>
        <w:spacing w:after="0"/>
        <w:ind w:left="720"/>
        <w:rPr>
          <w:sz w:val="20"/>
          <w:szCs w:val="20"/>
        </w:rPr>
      </w:pPr>
      <w:r w:rsidRPr="00EC3B28">
        <w:rPr>
          <w:rFonts w:eastAsia="Arial"/>
          <w:sz w:val="20"/>
          <w:szCs w:val="20"/>
        </w:rPr>
        <w:t xml:space="preserve">Trueness </w:t>
      </w:r>
      <w:r w:rsidR="00725F0F">
        <w:rPr>
          <w:rFonts w:eastAsia="Arial"/>
          <w:sz w:val="20"/>
          <w:szCs w:val="20"/>
        </w:rPr>
        <w:t xml:space="preserve">(%) </w:t>
      </w:r>
      <w:r w:rsidRPr="00EC3B28">
        <w:rPr>
          <w:rFonts w:eastAsia="Arial"/>
          <w:sz w:val="20"/>
          <w:szCs w:val="20"/>
        </w:rPr>
        <w:t xml:space="preserve">= 100 × measured content/fortification level. </w:t>
      </w:r>
    </w:p>
    <w:p w14:paraId="3182EAD0" w14:textId="77777777" w:rsidR="00A73D5E" w:rsidRPr="00EC3B28" w:rsidRDefault="00A73D5E" w:rsidP="00A73D5E">
      <w:pPr>
        <w:spacing w:after="0"/>
        <w:rPr>
          <w:sz w:val="20"/>
          <w:szCs w:val="20"/>
        </w:rPr>
      </w:pPr>
      <w:bookmarkStart w:id="43" w:name="_Toc535221045"/>
    </w:p>
    <w:p w14:paraId="0676ED41" w14:textId="77777777" w:rsidR="00A73D5E" w:rsidRPr="00EC3B28" w:rsidRDefault="00A73D5E" w:rsidP="00A73D5E">
      <w:pPr>
        <w:pStyle w:val="Heading4"/>
        <w:rPr>
          <w:rFonts w:ascii="Times New Roman" w:hAnsi="Times New Roman" w:cs="Times New Roman"/>
          <w:b/>
          <w:color w:val="000000" w:themeColor="text1"/>
          <w:sz w:val="20"/>
          <w:szCs w:val="20"/>
        </w:rPr>
      </w:pPr>
      <w:bookmarkStart w:id="44" w:name="_Toc5193401"/>
      <w:r w:rsidRPr="00EC3B28">
        <w:rPr>
          <w:rFonts w:ascii="Times New Roman" w:hAnsi="Times New Roman" w:cs="Times New Roman"/>
          <w:b/>
          <w:color w:val="000000" w:themeColor="text1"/>
          <w:sz w:val="20"/>
          <w:szCs w:val="20"/>
        </w:rPr>
        <w:t>2.2.1.3 Repeatability</w:t>
      </w:r>
      <w:bookmarkEnd w:id="43"/>
      <w:bookmarkEnd w:id="44"/>
    </w:p>
    <w:p w14:paraId="1B78993A" w14:textId="77777777" w:rsidR="00A73D5E" w:rsidRPr="00EC3B28" w:rsidRDefault="00A73D5E" w:rsidP="00A73D5E">
      <w:pPr>
        <w:rPr>
          <w:rFonts w:eastAsia="Arial"/>
          <w:sz w:val="20"/>
          <w:szCs w:val="20"/>
        </w:rPr>
      </w:pPr>
      <w:r w:rsidRPr="00EC3B28">
        <w:rPr>
          <w:rFonts w:eastAsia="Arial"/>
          <w:sz w:val="20"/>
          <w:szCs w:val="20"/>
        </w:rPr>
        <w:t xml:space="preserve">For methods validated from the date of application of this Regulation, prepare a set of samples of identical matrices, fortified with the analyte to yield concentrations equivalent to </w:t>
      </w:r>
    </w:p>
    <w:p w14:paraId="4E6B0349" w14:textId="77777777" w:rsidR="00721E38" w:rsidRPr="00EC3B28" w:rsidRDefault="00721E38" w:rsidP="00721E38">
      <w:pPr>
        <w:spacing w:after="0"/>
        <w:rPr>
          <w:rFonts w:eastAsia="Arial"/>
          <w:sz w:val="20"/>
          <w:szCs w:val="20"/>
        </w:rPr>
      </w:pPr>
      <w:r>
        <w:rPr>
          <w:rFonts w:eastAsia="Arial"/>
          <w:sz w:val="20"/>
          <w:szCs w:val="20"/>
        </w:rPr>
        <w:t xml:space="preserve">- </w:t>
      </w:r>
      <w:r w:rsidRPr="00EC3B28">
        <w:rPr>
          <w:rFonts w:eastAsia="Arial"/>
          <w:sz w:val="20"/>
          <w:szCs w:val="20"/>
        </w:rPr>
        <w:t>0.5, 1.0 and 1.5 times the RPA</w:t>
      </w:r>
    </w:p>
    <w:p w14:paraId="7C9B0BE6" w14:textId="342B055C" w:rsidR="00A73D5E" w:rsidRPr="00EC3B28" w:rsidRDefault="00A73D5E" w:rsidP="00A73D5E">
      <w:pPr>
        <w:spacing w:after="0"/>
        <w:rPr>
          <w:rFonts w:eastAsia="Arial"/>
          <w:sz w:val="20"/>
          <w:szCs w:val="20"/>
        </w:rPr>
      </w:pPr>
      <w:r w:rsidRPr="00EC3B28">
        <w:rPr>
          <w:rFonts w:eastAsia="Arial"/>
          <w:sz w:val="20"/>
          <w:szCs w:val="20"/>
        </w:rPr>
        <w:t>-</w:t>
      </w:r>
      <w:r w:rsidR="00793651">
        <w:rPr>
          <w:rFonts w:eastAsia="Arial"/>
          <w:sz w:val="20"/>
          <w:szCs w:val="20"/>
        </w:rPr>
        <w:t xml:space="preserve"> </w:t>
      </w:r>
      <w:r w:rsidRPr="00EC3B28">
        <w:rPr>
          <w:rFonts w:eastAsia="Arial"/>
          <w:sz w:val="20"/>
          <w:szCs w:val="20"/>
        </w:rPr>
        <w:t>0.1, 1.0 and 1.5 times the MRL or ML for authorised substances</w:t>
      </w:r>
    </w:p>
    <w:p w14:paraId="632481D8" w14:textId="0EE4ABE2" w:rsidR="00A73D5E" w:rsidRPr="00EC3B28" w:rsidRDefault="00A73D5E" w:rsidP="00A73D5E">
      <w:pPr>
        <w:spacing w:after="0"/>
        <w:rPr>
          <w:rFonts w:eastAsia="Arial"/>
          <w:sz w:val="20"/>
          <w:szCs w:val="20"/>
        </w:rPr>
      </w:pPr>
      <w:r w:rsidRPr="00EC3B28">
        <w:rPr>
          <w:rFonts w:eastAsia="Arial"/>
          <w:sz w:val="20"/>
          <w:szCs w:val="20"/>
        </w:rPr>
        <w:t>-</w:t>
      </w:r>
      <w:r w:rsidR="00793651">
        <w:rPr>
          <w:rFonts w:eastAsia="Arial"/>
          <w:sz w:val="20"/>
          <w:szCs w:val="20"/>
        </w:rPr>
        <w:t xml:space="preserve"> </w:t>
      </w:r>
      <w:r w:rsidRPr="00EC3B28">
        <w:rPr>
          <w:rFonts w:eastAsia="Arial"/>
          <w:sz w:val="20"/>
          <w:szCs w:val="20"/>
        </w:rPr>
        <w:t>1, 1.5 and 2 times the LCL for unauthorised or prohibited substances</w:t>
      </w:r>
      <w:r w:rsidR="00721E38">
        <w:rPr>
          <w:rFonts w:eastAsia="Arial"/>
          <w:sz w:val="20"/>
          <w:szCs w:val="20"/>
        </w:rPr>
        <w:t xml:space="preserve"> in case no RPA is applicable</w:t>
      </w:r>
      <w:r w:rsidR="003169E4">
        <w:rPr>
          <w:rFonts w:eastAsia="Arial"/>
          <w:sz w:val="20"/>
          <w:szCs w:val="20"/>
        </w:rPr>
        <w:t>.</w:t>
      </w:r>
    </w:p>
    <w:p w14:paraId="0A962F16" w14:textId="77777777" w:rsidR="00A73D5E" w:rsidRPr="00EC3B28" w:rsidRDefault="00A73D5E" w:rsidP="00A73D5E">
      <w:pPr>
        <w:spacing w:after="0"/>
        <w:rPr>
          <w:rFonts w:eastAsia="Arial"/>
          <w:sz w:val="20"/>
          <w:szCs w:val="20"/>
        </w:rPr>
      </w:pPr>
    </w:p>
    <w:p w14:paraId="3E991CE2" w14:textId="77777777" w:rsidR="00A73D5E" w:rsidRPr="00EC3B28" w:rsidRDefault="00A73D5E" w:rsidP="00A73D5E">
      <w:pPr>
        <w:rPr>
          <w:rFonts w:eastAsia="Arial"/>
          <w:sz w:val="20"/>
          <w:szCs w:val="20"/>
        </w:rPr>
      </w:pPr>
      <w:r w:rsidRPr="00EC3B28">
        <w:rPr>
          <w:rFonts w:eastAsia="Arial"/>
          <w:sz w:val="20"/>
          <w:szCs w:val="20"/>
        </w:rPr>
        <w:t>For methods for authorised substances validated before the date of application of this Regulation, a determination of the repeatability with fortified matrices in concentrations at 0.5, 1.0 and 1.5 times the MRL or ML is sufficient.</w:t>
      </w:r>
    </w:p>
    <w:p w14:paraId="12F5E54B" w14:textId="77777777" w:rsidR="00A73D5E" w:rsidRPr="00EC3B28" w:rsidRDefault="00A73D5E" w:rsidP="00A73D5E">
      <w:pPr>
        <w:spacing w:after="0"/>
        <w:rPr>
          <w:sz w:val="20"/>
          <w:szCs w:val="20"/>
        </w:rPr>
      </w:pPr>
      <w:r w:rsidRPr="00EC3B28">
        <w:rPr>
          <w:rFonts w:eastAsia="Arial"/>
          <w:sz w:val="20"/>
          <w:szCs w:val="20"/>
        </w:rPr>
        <w:t xml:space="preserve">- At each level the analysis shall be performed with at least six replicates. </w:t>
      </w:r>
    </w:p>
    <w:p w14:paraId="7E6A23E4" w14:textId="77777777" w:rsidR="00A73D5E" w:rsidRPr="00EC3B28" w:rsidRDefault="00A73D5E" w:rsidP="00A73D5E">
      <w:pPr>
        <w:spacing w:after="0"/>
        <w:rPr>
          <w:sz w:val="20"/>
          <w:szCs w:val="20"/>
        </w:rPr>
      </w:pPr>
      <w:r w:rsidRPr="00EC3B28">
        <w:rPr>
          <w:rFonts w:eastAsia="Arial"/>
          <w:sz w:val="20"/>
          <w:szCs w:val="20"/>
        </w:rPr>
        <w:t xml:space="preserve">- Analyse the samples. </w:t>
      </w:r>
    </w:p>
    <w:p w14:paraId="48EFE421" w14:textId="77777777" w:rsidR="00A73D5E" w:rsidRPr="00EC3B28" w:rsidRDefault="00A73D5E" w:rsidP="00A73D5E">
      <w:pPr>
        <w:spacing w:after="0"/>
        <w:rPr>
          <w:sz w:val="20"/>
          <w:szCs w:val="20"/>
        </w:rPr>
      </w:pPr>
      <w:r w:rsidRPr="00EC3B28">
        <w:rPr>
          <w:rFonts w:eastAsia="Arial"/>
          <w:sz w:val="20"/>
          <w:szCs w:val="20"/>
        </w:rPr>
        <w:t xml:space="preserve">- Calculate the concentration detected in each sample. </w:t>
      </w:r>
    </w:p>
    <w:p w14:paraId="360F9B08" w14:textId="77777777" w:rsidR="00A73D5E" w:rsidRPr="00EC3B28" w:rsidRDefault="00A73D5E" w:rsidP="00A73D5E">
      <w:pPr>
        <w:spacing w:after="0"/>
        <w:rPr>
          <w:sz w:val="20"/>
          <w:szCs w:val="20"/>
        </w:rPr>
      </w:pPr>
      <w:r w:rsidRPr="00EC3B28">
        <w:rPr>
          <w:rFonts w:eastAsia="Arial"/>
          <w:sz w:val="20"/>
          <w:szCs w:val="20"/>
        </w:rPr>
        <w:t xml:space="preserve">- Calculate the mean concentration, standard deviation and the coefficient of variation (%) of the fortified samples. </w:t>
      </w:r>
    </w:p>
    <w:p w14:paraId="0FBB61F8" w14:textId="77777777" w:rsidR="00A73D5E" w:rsidRPr="00EC3B28" w:rsidRDefault="00A73D5E" w:rsidP="00A73D5E">
      <w:pPr>
        <w:spacing w:after="0"/>
        <w:rPr>
          <w:sz w:val="20"/>
          <w:szCs w:val="20"/>
        </w:rPr>
      </w:pPr>
      <w:r w:rsidRPr="00EC3B28">
        <w:rPr>
          <w:rFonts w:eastAsia="Arial"/>
          <w:sz w:val="20"/>
          <w:szCs w:val="20"/>
        </w:rPr>
        <w:t xml:space="preserve">- Repeat these steps on at least two other occasions, using different batches of blank material. </w:t>
      </w:r>
    </w:p>
    <w:p w14:paraId="22AA1554" w14:textId="63FE99DA" w:rsidR="00A73D5E" w:rsidRPr="00EC3B28" w:rsidRDefault="00A73D5E" w:rsidP="00A73D5E">
      <w:pPr>
        <w:spacing w:after="0"/>
        <w:rPr>
          <w:sz w:val="20"/>
          <w:szCs w:val="20"/>
        </w:rPr>
      </w:pPr>
      <w:r w:rsidRPr="00EC3B28">
        <w:rPr>
          <w:rFonts w:eastAsia="Arial"/>
          <w:sz w:val="20"/>
          <w:szCs w:val="20"/>
        </w:rPr>
        <w:t>- Calculate the overall mean concentrations</w:t>
      </w:r>
      <w:r w:rsidR="00A16907">
        <w:rPr>
          <w:rFonts w:eastAsia="Arial"/>
          <w:sz w:val="20"/>
          <w:szCs w:val="20"/>
        </w:rPr>
        <w:t>, standard deviation (by averaging the standard deviation squared of the individual occasions and taking the square root of that)</w:t>
      </w:r>
      <w:r w:rsidRPr="00EC3B28">
        <w:rPr>
          <w:rFonts w:eastAsia="Arial"/>
          <w:sz w:val="20"/>
          <w:szCs w:val="20"/>
        </w:rPr>
        <w:t xml:space="preserve"> and variation coefficients for the fortified samples. </w:t>
      </w:r>
    </w:p>
    <w:p w14:paraId="7200EDC3" w14:textId="77777777" w:rsidR="00A73D5E" w:rsidRPr="00EC3B28" w:rsidRDefault="00A73D5E" w:rsidP="00A73D5E">
      <w:pPr>
        <w:spacing w:after="0"/>
        <w:rPr>
          <w:sz w:val="20"/>
          <w:szCs w:val="20"/>
        </w:rPr>
      </w:pPr>
    </w:p>
    <w:p w14:paraId="28AE3F29" w14:textId="3D6B92DA" w:rsidR="00A73D5E" w:rsidRDefault="00A73D5E" w:rsidP="00A73D5E">
      <w:pPr>
        <w:rPr>
          <w:rFonts w:eastAsiaTheme="minorEastAsia"/>
          <w:sz w:val="20"/>
          <w:szCs w:val="20"/>
        </w:rPr>
      </w:pPr>
      <w:r w:rsidRPr="00EC3B28">
        <w:rPr>
          <w:rFonts w:eastAsiaTheme="minorEastAsia"/>
          <w:sz w:val="20"/>
          <w:szCs w:val="20"/>
        </w:rPr>
        <w:t>Alternatively</w:t>
      </w:r>
      <w:r w:rsidR="00C625BD">
        <w:rPr>
          <w:rFonts w:eastAsiaTheme="minorEastAsia"/>
          <w:sz w:val="20"/>
          <w:szCs w:val="20"/>
        </w:rPr>
        <w:t>,</w:t>
      </w:r>
      <w:r w:rsidRPr="00EC3B28">
        <w:rPr>
          <w:rFonts w:eastAsiaTheme="minorEastAsia"/>
          <w:sz w:val="20"/>
          <w:szCs w:val="20"/>
        </w:rPr>
        <w:t xml:space="preserve"> the calculation for repeatability can be performed according to ISO5725-2-3.</w:t>
      </w:r>
    </w:p>
    <w:p w14:paraId="62ED99F9" w14:textId="77777777" w:rsidR="005F53E1" w:rsidRPr="00EC3B28" w:rsidRDefault="005F53E1" w:rsidP="00A73D5E">
      <w:pPr>
        <w:rPr>
          <w:rFonts w:eastAsiaTheme="minorEastAsia"/>
          <w:sz w:val="20"/>
          <w:szCs w:val="20"/>
        </w:rPr>
      </w:pPr>
    </w:p>
    <w:p w14:paraId="3FB9E255" w14:textId="77777777" w:rsidR="00A73D5E" w:rsidRPr="00EC3B28" w:rsidRDefault="00A73D5E" w:rsidP="00A73D5E">
      <w:pPr>
        <w:pStyle w:val="Heading4"/>
        <w:rPr>
          <w:rFonts w:ascii="Times New Roman" w:eastAsia="Arial" w:hAnsi="Times New Roman" w:cs="Times New Roman"/>
          <w:b/>
          <w:color w:val="000000" w:themeColor="text1"/>
          <w:sz w:val="20"/>
          <w:szCs w:val="20"/>
        </w:rPr>
      </w:pPr>
      <w:bookmarkStart w:id="45" w:name="_Toc535221046"/>
      <w:bookmarkStart w:id="46" w:name="_Toc5193402"/>
      <w:r w:rsidRPr="00EC3B28">
        <w:rPr>
          <w:rFonts w:ascii="Times New Roman" w:hAnsi="Times New Roman" w:cs="Times New Roman"/>
          <w:b/>
          <w:color w:val="000000" w:themeColor="text1"/>
          <w:sz w:val="20"/>
          <w:szCs w:val="20"/>
        </w:rPr>
        <w:t>2.2.1.4 Within-laboratory reproducibility</w:t>
      </w:r>
      <w:bookmarkStart w:id="47" w:name="_Toc535221047"/>
      <w:bookmarkEnd w:id="45"/>
      <w:bookmarkEnd w:id="46"/>
      <w:r w:rsidRPr="00EC3B28">
        <w:rPr>
          <w:rFonts w:ascii="Times New Roman" w:hAnsi="Times New Roman" w:cs="Times New Roman"/>
          <w:b/>
          <w:color w:val="000000" w:themeColor="text1"/>
          <w:sz w:val="20"/>
          <w:szCs w:val="20"/>
        </w:rPr>
        <w:t xml:space="preserve"> </w:t>
      </w:r>
    </w:p>
    <w:p w14:paraId="592CB9EF" w14:textId="77777777" w:rsidR="00A73D5E" w:rsidRPr="00EC3B28" w:rsidRDefault="00A73D5E" w:rsidP="00A73D5E">
      <w:pPr>
        <w:rPr>
          <w:rFonts w:eastAsiaTheme="minorEastAsia"/>
          <w:sz w:val="20"/>
          <w:szCs w:val="20"/>
        </w:rPr>
      </w:pPr>
      <w:r w:rsidRPr="00EC3B28">
        <w:rPr>
          <w:rFonts w:eastAsiaTheme="minorEastAsia"/>
          <w:sz w:val="20"/>
          <w:szCs w:val="20"/>
        </w:rPr>
        <w:t xml:space="preserve">For validations carried out after the date of application of this Regulation, prepare a set of samples of specified test material (identical or different matrices), fortified with the analyte(s) to yield concentrations equivalent to </w:t>
      </w:r>
    </w:p>
    <w:p w14:paraId="01741F7E" w14:textId="72441951" w:rsidR="00A16907" w:rsidRPr="00EC3B28" w:rsidRDefault="00A16907" w:rsidP="00A16907">
      <w:pPr>
        <w:spacing w:after="0"/>
        <w:rPr>
          <w:rFonts w:eastAsia="Arial"/>
          <w:sz w:val="20"/>
          <w:szCs w:val="20"/>
        </w:rPr>
      </w:pPr>
      <w:r w:rsidRPr="00EC3B28">
        <w:rPr>
          <w:rFonts w:eastAsia="Arial"/>
          <w:sz w:val="20"/>
          <w:szCs w:val="20"/>
        </w:rPr>
        <w:t>-</w:t>
      </w:r>
      <w:r w:rsidR="00C625BD">
        <w:rPr>
          <w:rFonts w:eastAsia="Arial"/>
          <w:sz w:val="20"/>
          <w:szCs w:val="20"/>
        </w:rPr>
        <w:t xml:space="preserve"> </w:t>
      </w:r>
      <w:r w:rsidRPr="00EC3B28">
        <w:rPr>
          <w:rFonts w:eastAsia="Arial"/>
          <w:sz w:val="20"/>
          <w:szCs w:val="20"/>
        </w:rPr>
        <w:t>0.5, 1.0 and 1.5 times the RPA</w:t>
      </w:r>
    </w:p>
    <w:p w14:paraId="23E5E49C" w14:textId="47EBF0D4" w:rsidR="00A73D5E" w:rsidRPr="00EC3B28" w:rsidRDefault="00A73D5E" w:rsidP="00A73D5E">
      <w:pPr>
        <w:spacing w:after="0"/>
        <w:rPr>
          <w:rFonts w:eastAsia="Arial"/>
          <w:sz w:val="20"/>
          <w:szCs w:val="20"/>
        </w:rPr>
      </w:pPr>
      <w:r w:rsidRPr="00EC3B28">
        <w:rPr>
          <w:rFonts w:eastAsia="Arial"/>
          <w:sz w:val="20"/>
          <w:szCs w:val="20"/>
        </w:rPr>
        <w:t>-</w:t>
      </w:r>
      <w:r w:rsidR="00C625BD">
        <w:rPr>
          <w:rFonts w:eastAsia="Arial"/>
          <w:sz w:val="20"/>
          <w:szCs w:val="20"/>
        </w:rPr>
        <w:t xml:space="preserve"> </w:t>
      </w:r>
      <w:r w:rsidRPr="00EC3B28">
        <w:rPr>
          <w:rFonts w:eastAsia="Arial"/>
          <w:sz w:val="20"/>
          <w:szCs w:val="20"/>
        </w:rPr>
        <w:t>0.1, 1.0 and 1.5 times the MRL or ML for authorised substances</w:t>
      </w:r>
    </w:p>
    <w:p w14:paraId="458005E5" w14:textId="603460A2" w:rsidR="00A73D5E" w:rsidRPr="00EC3B28" w:rsidRDefault="00A73D5E" w:rsidP="00A73D5E">
      <w:pPr>
        <w:spacing w:after="0"/>
        <w:rPr>
          <w:rFonts w:eastAsia="Arial"/>
          <w:sz w:val="20"/>
          <w:szCs w:val="20"/>
        </w:rPr>
      </w:pPr>
      <w:r w:rsidRPr="00EC3B28">
        <w:rPr>
          <w:rFonts w:eastAsia="Arial"/>
          <w:sz w:val="20"/>
          <w:szCs w:val="20"/>
        </w:rPr>
        <w:t>-</w:t>
      </w:r>
      <w:r w:rsidR="00C625BD">
        <w:rPr>
          <w:rFonts w:eastAsia="Arial"/>
          <w:sz w:val="20"/>
          <w:szCs w:val="20"/>
        </w:rPr>
        <w:t xml:space="preserve"> </w:t>
      </w:r>
      <w:r w:rsidRPr="00EC3B28">
        <w:rPr>
          <w:rFonts w:eastAsia="Arial"/>
          <w:sz w:val="20"/>
          <w:szCs w:val="20"/>
        </w:rPr>
        <w:t>1, 1.5 and 2 times the LCL for unauthorised or prohibited substances</w:t>
      </w:r>
      <w:r w:rsidR="00A16907">
        <w:rPr>
          <w:rFonts w:eastAsia="Arial"/>
          <w:sz w:val="20"/>
          <w:szCs w:val="20"/>
        </w:rPr>
        <w:t xml:space="preserve"> in case no RPA is applicable</w:t>
      </w:r>
      <w:r w:rsidR="003169E4">
        <w:rPr>
          <w:rFonts w:eastAsia="Arial"/>
          <w:sz w:val="20"/>
          <w:szCs w:val="20"/>
        </w:rPr>
        <w:t>.</w:t>
      </w:r>
    </w:p>
    <w:p w14:paraId="5B6EF822" w14:textId="77777777" w:rsidR="00A73D5E" w:rsidRPr="00EC3B28" w:rsidRDefault="00A73D5E" w:rsidP="00A73D5E">
      <w:pPr>
        <w:spacing w:after="0"/>
        <w:rPr>
          <w:rFonts w:eastAsia="Arial"/>
          <w:sz w:val="20"/>
          <w:szCs w:val="20"/>
        </w:rPr>
      </w:pPr>
    </w:p>
    <w:bookmarkEnd w:id="47"/>
    <w:p w14:paraId="4B32174D" w14:textId="77777777" w:rsidR="00A73D5E" w:rsidRPr="00EC3B28" w:rsidRDefault="00A73D5E" w:rsidP="00A73D5E">
      <w:pPr>
        <w:rPr>
          <w:rFonts w:eastAsia="Arial"/>
          <w:sz w:val="20"/>
          <w:szCs w:val="20"/>
        </w:rPr>
      </w:pPr>
      <w:r w:rsidRPr="00EC3B28">
        <w:rPr>
          <w:rFonts w:eastAsia="Arial"/>
          <w:sz w:val="20"/>
          <w:szCs w:val="20"/>
        </w:rPr>
        <w:t>For methods for authorised substances validated before the date of application of this Regulation, a determination of the repeatability with fortified matrices in concentrations at 0.5, 1.0 and 1.5 times the MRL or ML is sufficient.</w:t>
      </w:r>
    </w:p>
    <w:p w14:paraId="5BB4D4D7" w14:textId="77777777" w:rsidR="00A73D5E" w:rsidRPr="00EC3B28" w:rsidRDefault="00A73D5E" w:rsidP="00A73D5E">
      <w:pPr>
        <w:spacing w:after="0"/>
        <w:rPr>
          <w:sz w:val="20"/>
          <w:szCs w:val="20"/>
        </w:rPr>
      </w:pPr>
      <w:r w:rsidRPr="00EC3B28">
        <w:rPr>
          <w:rFonts w:eastAsia="Arial"/>
          <w:sz w:val="20"/>
          <w:szCs w:val="20"/>
        </w:rPr>
        <w:t xml:space="preserve">- Perform the analysis at each concentration level with at least six different batches of blank material. </w:t>
      </w:r>
    </w:p>
    <w:p w14:paraId="7C066FB3" w14:textId="77777777" w:rsidR="008602D5" w:rsidRPr="00EC3B28" w:rsidRDefault="008602D5" w:rsidP="008602D5">
      <w:pPr>
        <w:spacing w:after="0"/>
        <w:rPr>
          <w:sz w:val="20"/>
          <w:szCs w:val="20"/>
        </w:rPr>
      </w:pPr>
      <w:r w:rsidRPr="00EC3B28">
        <w:rPr>
          <w:rFonts w:eastAsia="Arial"/>
          <w:sz w:val="20"/>
          <w:szCs w:val="20"/>
        </w:rPr>
        <w:t xml:space="preserve">- Analyse the samples. </w:t>
      </w:r>
    </w:p>
    <w:p w14:paraId="1DF82C14" w14:textId="77777777" w:rsidR="008602D5" w:rsidRPr="00EC3B28" w:rsidRDefault="008602D5" w:rsidP="008602D5">
      <w:pPr>
        <w:spacing w:after="0"/>
        <w:rPr>
          <w:sz w:val="20"/>
          <w:szCs w:val="20"/>
        </w:rPr>
      </w:pPr>
      <w:r w:rsidRPr="00EC3B28">
        <w:rPr>
          <w:rFonts w:eastAsia="Arial"/>
          <w:sz w:val="20"/>
          <w:szCs w:val="20"/>
        </w:rPr>
        <w:t xml:space="preserve">- Calculate the concentration detected in each sample. </w:t>
      </w:r>
    </w:p>
    <w:p w14:paraId="43561D36" w14:textId="77777777" w:rsidR="00A73D5E" w:rsidRPr="00EC3B28" w:rsidRDefault="00A73D5E" w:rsidP="00A73D5E">
      <w:pPr>
        <w:spacing w:after="0"/>
        <w:rPr>
          <w:sz w:val="20"/>
          <w:szCs w:val="20"/>
        </w:rPr>
      </w:pPr>
      <w:r w:rsidRPr="00EC3B28">
        <w:rPr>
          <w:rFonts w:eastAsia="Arial"/>
          <w:sz w:val="20"/>
          <w:szCs w:val="20"/>
        </w:rPr>
        <w:t>- Repeat these steps on at least two other occasions with different batches of blank material, different operators and as many different environmental conditions as possible, e.g. different batches of reagents, solvents, different room temperatures, different instruments or a variation of other parameters.</w:t>
      </w:r>
    </w:p>
    <w:p w14:paraId="2D49CAF6" w14:textId="51414127" w:rsidR="00A31779" w:rsidRPr="00EC3B28" w:rsidRDefault="00A73D5E" w:rsidP="00A73D5E">
      <w:pPr>
        <w:spacing w:after="0"/>
        <w:rPr>
          <w:sz w:val="20"/>
          <w:szCs w:val="20"/>
        </w:rPr>
      </w:pPr>
      <w:r w:rsidRPr="00EC3B28">
        <w:rPr>
          <w:rFonts w:eastAsia="Arial"/>
          <w:sz w:val="20"/>
          <w:szCs w:val="20"/>
        </w:rPr>
        <w:t>- Determine the mean concentration, standard deviation and the coefficient of variation (%) of the fortified samples</w:t>
      </w:r>
      <w:r w:rsidR="00793651">
        <w:rPr>
          <w:rFonts w:eastAsia="Arial"/>
          <w:sz w:val="20"/>
          <w:szCs w:val="20"/>
        </w:rPr>
        <w:t>.</w:t>
      </w:r>
      <w:r w:rsidRPr="00EC3B28">
        <w:rPr>
          <w:rFonts w:eastAsia="Arial"/>
          <w:sz w:val="20"/>
          <w:szCs w:val="20"/>
        </w:rPr>
        <w:t xml:space="preserve"> </w:t>
      </w:r>
    </w:p>
    <w:p w14:paraId="26A23210" w14:textId="36D5D672" w:rsidR="00A73D5E" w:rsidRPr="00EC3B28" w:rsidRDefault="00A73D5E" w:rsidP="00A73D5E">
      <w:pPr>
        <w:rPr>
          <w:rFonts w:eastAsiaTheme="minorEastAsia"/>
          <w:sz w:val="20"/>
          <w:szCs w:val="20"/>
        </w:rPr>
      </w:pPr>
      <w:r w:rsidRPr="00EC3B28">
        <w:rPr>
          <w:rFonts w:eastAsiaTheme="minorEastAsia"/>
          <w:sz w:val="20"/>
          <w:szCs w:val="20"/>
        </w:rPr>
        <w:t>Alternatively</w:t>
      </w:r>
      <w:r w:rsidR="00C625BD">
        <w:rPr>
          <w:rFonts w:eastAsiaTheme="minorEastAsia"/>
          <w:sz w:val="20"/>
          <w:szCs w:val="20"/>
        </w:rPr>
        <w:t>,</w:t>
      </w:r>
      <w:r w:rsidRPr="00EC3B28">
        <w:rPr>
          <w:rFonts w:eastAsiaTheme="minorEastAsia"/>
          <w:sz w:val="20"/>
          <w:szCs w:val="20"/>
        </w:rPr>
        <w:t xml:space="preserve"> the calculation for within-laboratory reproducibility can also be performed according to ISO5725-2-3</w:t>
      </w:r>
      <w:r w:rsidR="005F53E1">
        <w:rPr>
          <w:rFonts w:eastAsiaTheme="minorEastAsia"/>
          <w:sz w:val="20"/>
          <w:szCs w:val="20"/>
          <w:vertAlign w:val="superscript"/>
        </w:rPr>
        <w:t>1</w:t>
      </w:r>
      <w:r w:rsidR="0007433C">
        <w:rPr>
          <w:rFonts w:eastAsiaTheme="minorEastAsia"/>
          <w:sz w:val="20"/>
          <w:szCs w:val="20"/>
        </w:rPr>
        <w:t>, ISO</w:t>
      </w:r>
      <w:r w:rsidR="0092680A">
        <w:rPr>
          <w:rFonts w:eastAsiaTheme="minorEastAsia"/>
          <w:sz w:val="20"/>
          <w:szCs w:val="20"/>
        </w:rPr>
        <w:t xml:space="preserve"> </w:t>
      </w:r>
      <w:r w:rsidR="0007433C">
        <w:rPr>
          <w:rFonts w:eastAsiaTheme="minorEastAsia"/>
          <w:sz w:val="20"/>
          <w:szCs w:val="20"/>
        </w:rPr>
        <w:t>11843</w:t>
      </w:r>
      <w:r w:rsidR="0007433C">
        <w:rPr>
          <w:rStyle w:val="FootnoteReference"/>
          <w:rFonts w:eastAsiaTheme="minorEastAsia"/>
          <w:sz w:val="20"/>
          <w:szCs w:val="20"/>
        </w:rPr>
        <w:footnoteReference w:id="2"/>
      </w:r>
      <w:r w:rsidR="0007433C">
        <w:rPr>
          <w:rFonts w:eastAsiaTheme="minorEastAsia"/>
          <w:sz w:val="20"/>
          <w:szCs w:val="20"/>
        </w:rPr>
        <w:t>, Codex CAC/GL 59-2006</w:t>
      </w:r>
      <w:r w:rsidR="0007433C">
        <w:rPr>
          <w:rStyle w:val="FootnoteReference"/>
          <w:rFonts w:eastAsiaTheme="minorEastAsia"/>
          <w:sz w:val="20"/>
          <w:szCs w:val="20"/>
        </w:rPr>
        <w:footnoteReference w:id="3"/>
      </w:r>
      <w:r w:rsidR="0007433C">
        <w:rPr>
          <w:rFonts w:eastAsiaTheme="minorEastAsia"/>
          <w:sz w:val="20"/>
          <w:szCs w:val="20"/>
        </w:rPr>
        <w:t xml:space="preserve">, </w:t>
      </w:r>
      <w:r w:rsidR="006F6E32">
        <w:rPr>
          <w:rFonts w:eastAsiaTheme="minorEastAsia"/>
          <w:sz w:val="20"/>
          <w:szCs w:val="20"/>
        </w:rPr>
        <w:t>ISO WD TS 23471</w:t>
      </w:r>
      <w:r w:rsidR="006F6E32">
        <w:rPr>
          <w:rStyle w:val="FootnoteReference"/>
          <w:rFonts w:eastAsiaTheme="minorEastAsia"/>
          <w:sz w:val="20"/>
          <w:szCs w:val="20"/>
        </w:rPr>
        <w:footnoteReference w:id="4"/>
      </w:r>
      <w:r w:rsidR="006F6E32">
        <w:rPr>
          <w:rFonts w:eastAsiaTheme="minorEastAsia"/>
          <w:sz w:val="20"/>
          <w:szCs w:val="20"/>
        </w:rPr>
        <w:t>.</w:t>
      </w:r>
    </w:p>
    <w:p w14:paraId="376757F8" w14:textId="77777777" w:rsidR="00A73D5E" w:rsidRPr="00EC3B28" w:rsidRDefault="00A73D5E" w:rsidP="00A73D5E">
      <w:pPr>
        <w:pStyle w:val="Heading3"/>
        <w:rPr>
          <w:rFonts w:ascii="Times New Roman" w:hAnsi="Times New Roman" w:cs="Times New Roman"/>
          <w:color w:val="000000" w:themeColor="text1"/>
          <w:sz w:val="20"/>
          <w:szCs w:val="20"/>
        </w:rPr>
      </w:pPr>
      <w:bookmarkStart w:id="48" w:name="_Toc535221048"/>
      <w:bookmarkStart w:id="49" w:name="_Toc5193403"/>
      <w:r w:rsidRPr="00EC3B28">
        <w:rPr>
          <w:rFonts w:ascii="Times New Roman" w:hAnsi="Times New Roman" w:cs="Times New Roman"/>
          <w:color w:val="000000" w:themeColor="text1"/>
          <w:sz w:val="20"/>
          <w:szCs w:val="20"/>
        </w:rPr>
        <w:t>2.2.2 Validation according to alternative models</w:t>
      </w:r>
      <w:bookmarkEnd w:id="48"/>
      <w:bookmarkEnd w:id="49"/>
      <w:r w:rsidRPr="00EC3B28">
        <w:rPr>
          <w:rFonts w:ascii="Times New Roman" w:hAnsi="Times New Roman" w:cs="Times New Roman"/>
          <w:color w:val="000000" w:themeColor="text1"/>
          <w:sz w:val="20"/>
          <w:szCs w:val="20"/>
        </w:rPr>
        <w:t xml:space="preserve"> </w:t>
      </w:r>
    </w:p>
    <w:p w14:paraId="12A69BDD" w14:textId="0143E7C6" w:rsidR="00A73D5E" w:rsidRPr="00EC3B28" w:rsidRDefault="00A73D5E" w:rsidP="00A73D5E">
      <w:pPr>
        <w:spacing w:after="0"/>
        <w:rPr>
          <w:rFonts w:eastAsiaTheme="minorEastAsia"/>
          <w:sz w:val="20"/>
          <w:szCs w:val="20"/>
        </w:rPr>
      </w:pPr>
      <w:r w:rsidRPr="00EC3B28">
        <w:rPr>
          <w:rFonts w:eastAsiaTheme="minorEastAsia"/>
          <w:sz w:val="20"/>
          <w:szCs w:val="20"/>
        </w:rPr>
        <w:t xml:space="preserve">The calculation of the parameters in accordance with alternative models requires the performance of an experimental plan. The experimental plan has to be designed depending on the number of different species and different factors under investigation. Hence, the first step of the entire validation procedure is to consider the sample populations that will be analysed in the laboratory in the future, in order to determine the most important species and the </w:t>
      </w:r>
      <w:r w:rsidR="00B265E2" w:rsidRPr="00EC3B28">
        <w:rPr>
          <w:rFonts w:eastAsiaTheme="minorEastAsia"/>
          <w:sz w:val="20"/>
          <w:szCs w:val="20"/>
        </w:rPr>
        <w:t>factors, which</w:t>
      </w:r>
      <w:r w:rsidRPr="00EC3B28">
        <w:rPr>
          <w:rFonts w:eastAsiaTheme="minorEastAsia"/>
          <w:sz w:val="20"/>
          <w:szCs w:val="20"/>
        </w:rPr>
        <w:t xml:space="preserve"> may influence the measurement results. The factorial approach allows the assessment of the measurement uncertainty of the test results, obtained under a variety of test conditions in a given laboratory, such as different analysts, different instruments, different lots of reagents, different matrices, different elapsed assay times and different assay temperatures. Subsequently, the concentration range has to be chosen in a purpose-adapted way according to the MRL or ML for authorised substances or the RPA or LCL for prohibited or non-authorised substances.</w:t>
      </w:r>
    </w:p>
    <w:p w14:paraId="1CB62DCD" w14:textId="77777777" w:rsidR="00A73D5E" w:rsidRPr="00EC3B28" w:rsidRDefault="00A73D5E" w:rsidP="00A73D5E">
      <w:pPr>
        <w:spacing w:after="0"/>
        <w:rPr>
          <w:rFonts w:eastAsiaTheme="minorEastAsia"/>
          <w:sz w:val="20"/>
          <w:szCs w:val="20"/>
        </w:rPr>
      </w:pPr>
      <w:r w:rsidRPr="00EC3B28">
        <w:rPr>
          <w:rFonts w:eastAsiaTheme="minorEastAsia"/>
          <w:sz w:val="20"/>
          <w:szCs w:val="20"/>
        </w:rPr>
        <w:t>The factorial approach aims at establishing reliable precision data and measurement data by simultaneous controlled variation of the selected factors. It allows the evaluation of the combined impact of factorial effects and random effects. The experimental designs allows also the investigation of the robustness of the analytical method and the determination of the in-house reproducibility standard deviation across matrices.</w:t>
      </w:r>
    </w:p>
    <w:p w14:paraId="1407D403" w14:textId="77777777" w:rsidR="00A73D5E" w:rsidRPr="00EC3B28" w:rsidRDefault="00A73D5E" w:rsidP="00A73D5E">
      <w:pPr>
        <w:spacing w:after="0"/>
        <w:rPr>
          <w:rFonts w:eastAsiaTheme="minorEastAsia"/>
          <w:sz w:val="20"/>
          <w:szCs w:val="20"/>
        </w:rPr>
      </w:pPr>
      <w:r w:rsidRPr="00EC3B28">
        <w:rPr>
          <w:rFonts w:eastAsiaTheme="minorEastAsia"/>
          <w:sz w:val="20"/>
          <w:szCs w:val="20"/>
        </w:rPr>
        <w:t xml:space="preserve">In the following an example for an alternative approach using an orthogonal experimental design plan is given. </w:t>
      </w:r>
    </w:p>
    <w:p w14:paraId="0B5D35F5" w14:textId="77777777" w:rsidR="00A73D5E" w:rsidRPr="00EC3B28" w:rsidRDefault="00A73D5E" w:rsidP="00A73D5E">
      <w:pPr>
        <w:spacing w:after="0"/>
        <w:rPr>
          <w:rFonts w:eastAsiaTheme="minorEastAsia"/>
          <w:sz w:val="20"/>
          <w:szCs w:val="20"/>
        </w:rPr>
      </w:pPr>
      <w:r w:rsidRPr="00EC3B28">
        <w:rPr>
          <w:rFonts w:eastAsiaTheme="minorEastAsia"/>
          <w:sz w:val="20"/>
          <w:szCs w:val="20"/>
        </w:rPr>
        <w:t>Up to eight factors (noise factors) can be examined. The study is designed in such a way that precision, trueness (based on spiked samples), sensitivity, measurement uncertainty and critical concentrations can be are determined simultaneously by implementation of the experimental plan.</w:t>
      </w:r>
    </w:p>
    <w:p w14:paraId="11EBBAB1" w14:textId="77777777" w:rsidR="00A73D5E" w:rsidRPr="00EC3B28" w:rsidRDefault="00A73D5E" w:rsidP="00A73D5E">
      <w:pPr>
        <w:spacing w:after="0"/>
        <w:rPr>
          <w:rFonts w:eastAsiaTheme="minorEastAsia"/>
          <w:sz w:val="20"/>
          <w:szCs w:val="20"/>
        </w:rPr>
      </w:pPr>
    </w:p>
    <w:p w14:paraId="1B65E51B" w14:textId="67745AD9" w:rsidR="00A73D5E" w:rsidRPr="00EC3B28" w:rsidRDefault="004E5BE9" w:rsidP="00A73D5E">
      <w:pPr>
        <w:spacing w:after="0"/>
        <w:rPr>
          <w:rFonts w:eastAsiaTheme="minorEastAsia"/>
          <w:sz w:val="20"/>
          <w:szCs w:val="20"/>
        </w:rPr>
      </w:pPr>
      <w:r w:rsidRPr="0092680A">
        <w:rPr>
          <w:rFonts w:eastAsiaTheme="minorEastAsia"/>
          <w:b/>
          <w:sz w:val="20"/>
          <w:szCs w:val="20"/>
        </w:rPr>
        <w:t>Table 6</w:t>
      </w:r>
      <w:r w:rsidR="00793651">
        <w:rPr>
          <w:rFonts w:eastAsiaTheme="minorEastAsia"/>
          <w:b/>
          <w:sz w:val="20"/>
          <w:szCs w:val="20"/>
        </w:rPr>
        <w:t>.</w:t>
      </w:r>
      <w:r w:rsidR="00A73D5E" w:rsidRPr="00EC3B28">
        <w:rPr>
          <w:rFonts w:eastAsiaTheme="minorEastAsia"/>
          <w:sz w:val="20"/>
          <w:szCs w:val="20"/>
        </w:rPr>
        <w:t xml:space="preserve"> Example of an orthogonal experimental design plan with 7 factors (I – VII) varied at two levels (A/B) in a validation study with eight runs (factor level combination).</w:t>
      </w:r>
    </w:p>
    <w:p w14:paraId="2F12F741" w14:textId="77777777" w:rsidR="00A73D5E" w:rsidRPr="00EC3B28" w:rsidRDefault="00A73D5E" w:rsidP="00A73D5E">
      <w:pPr>
        <w:spacing w:after="0"/>
        <w:rPr>
          <w:rFonts w:eastAsiaTheme="minorEastAsia"/>
          <w:sz w:val="20"/>
          <w:szCs w:val="20"/>
        </w:rPr>
      </w:pPr>
    </w:p>
    <w:tbl>
      <w:tblPr>
        <w:tblW w:w="9072" w:type="dxa"/>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gridCol w:w="1134"/>
      </w:tblGrid>
      <w:tr w:rsidR="0030037B" w:rsidRPr="00EC3B28" w14:paraId="380A1B60" w14:textId="77777777" w:rsidTr="0096064B">
        <w:trPr>
          <w:trHeight w:val="315"/>
        </w:trPr>
        <w:tc>
          <w:tcPr>
            <w:tcW w:w="9072" w:type="dxa"/>
            <w:gridSpan w:val="8"/>
            <w:tcBorders>
              <w:top w:val="single" w:sz="4" w:space="0" w:color="auto"/>
              <w:left w:val="nil"/>
              <w:bottom w:val="single" w:sz="8" w:space="0" w:color="auto"/>
              <w:right w:val="nil"/>
            </w:tcBorders>
            <w:shd w:val="clear" w:color="auto" w:fill="EDEDED"/>
            <w:noWrap/>
            <w:vAlign w:val="bottom"/>
          </w:tcPr>
          <w:p w14:paraId="6033A33C" w14:textId="32E37467" w:rsidR="0030037B" w:rsidRPr="00EC3B28" w:rsidRDefault="004E5BE9" w:rsidP="0030037B">
            <w:pPr>
              <w:spacing w:after="0"/>
              <w:jc w:val="center"/>
              <w:rPr>
                <w:rFonts w:eastAsia="Times New Roman"/>
                <w:b/>
                <w:sz w:val="20"/>
                <w:szCs w:val="20"/>
                <w:lang w:val="de-DE" w:eastAsia="de-DE"/>
              </w:rPr>
            </w:pPr>
            <w:r>
              <w:rPr>
                <w:rFonts w:eastAsia="Times New Roman"/>
                <w:b/>
                <w:sz w:val="20"/>
                <w:szCs w:val="20"/>
                <w:lang w:val="de-DE" w:eastAsia="de-DE"/>
              </w:rPr>
              <w:t>Table 6</w:t>
            </w:r>
          </w:p>
        </w:tc>
      </w:tr>
      <w:tr w:rsidR="00A73D5E" w:rsidRPr="00EC3B28" w14:paraId="3E37C0D5" w14:textId="77777777" w:rsidTr="001545FE">
        <w:trPr>
          <w:trHeight w:val="315"/>
        </w:trPr>
        <w:tc>
          <w:tcPr>
            <w:tcW w:w="1134" w:type="dxa"/>
            <w:tcBorders>
              <w:top w:val="single" w:sz="4" w:space="0" w:color="auto"/>
              <w:left w:val="nil"/>
              <w:bottom w:val="single" w:sz="8" w:space="0" w:color="auto"/>
              <w:right w:val="nil"/>
            </w:tcBorders>
            <w:shd w:val="clear" w:color="auto" w:fill="EDEDED"/>
            <w:noWrap/>
            <w:vAlign w:val="bottom"/>
            <w:hideMark/>
          </w:tcPr>
          <w:p w14:paraId="05A4462B" w14:textId="60889854" w:rsidR="00A73D5E" w:rsidRPr="00EC3B28" w:rsidRDefault="00A73D5E" w:rsidP="00C625BD">
            <w:pPr>
              <w:spacing w:after="0"/>
              <w:rPr>
                <w:rFonts w:eastAsia="Times New Roman"/>
                <w:sz w:val="20"/>
                <w:szCs w:val="20"/>
                <w:lang w:val="de-DE" w:eastAsia="de-DE"/>
              </w:rPr>
            </w:pPr>
            <w:r w:rsidRPr="00EC3B28">
              <w:rPr>
                <w:rFonts w:eastAsia="Times New Roman"/>
                <w:sz w:val="20"/>
                <w:szCs w:val="20"/>
                <w:lang w:val="de-DE" w:eastAsia="de-DE"/>
              </w:rPr>
              <w:t>Fa</w:t>
            </w:r>
            <w:r w:rsidR="00C625BD">
              <w:rPr>
                <w:rFonts w:eastAsia="Times New Roman"/>
                <w:sz w:val="20"/>
                <w:szCs w:val="20"/>
                <w:lang w:val="de-DE" w:eastAsia="de-DE"/>
              </w:rPr>
              <w:t>c</w:t>
            </w:r>
            <w:r w:rsidRPr="00EC3B28">
              <w:rPr>
                <w:rFonts w:eastAsia="Times New Roman"/>
                <w:sz w:val="20"/>
                <w:szCs w:val="20"/>
                <w:lang w:val="de-DE" w:eastAsia="de-DE"/>
              </w:rPr>
              <w:t>tor</w:t>
            </w:r>
          </w:p>
        </w:tc>
        <w:tc>
          <w:tcPr>
            <w:tcW w:w="1134" w:type="dxa"/>
            <w:tcBorders>
              <w:top w:val="single" w:sz="4" w:space="0" w:color="auto"/>
              <w:left w:val="nil"/>
              <w:bottom w:val="single" w:sz="8" w:space="0" w:color="auto"/>
              <w:right w:val="nil"/>
            </w:tcBorders>
            <w:shd w:val="clear" w:color="auto" w:fill="EDEDED"/>
            <w:noWrap/>
            <w:vAlign w:val="bottom"/>
            <w:hideMark/>
          </w:tcPr>
          <w:p w14:paraId="0A249307"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I</w:t>
            </w:r>
          </w:p>
        </w:tc>
        <w:tc>
          <w:tcPr>
            <w:tcW w:w="1134" w:type="dxa"/>
            <w:tcBorders>
              <w:top w:val="single" w:sz="4" w:space="0" w:color="auto"/>
              <w:left w:val="nil"/>
              <w:bottom w:val="single" w:sz="8" w:space="0" w:color="auto"/>
              <w:right w:val="nil"/>
            </w:tcBorders>
            <w:shd w:val="clear" w:color="auto" w:fill="EDEDED"/>
            <w:noWrap/>
            <w:vAlign w:val="bottom"/>
            <w:hideMark/>
          </w:tcPr>
          <w:p w14:paraId="382917E2"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II</w:t>
            </w:r>
          </w:p>
        </w:tc>
        <w:tc>
          <w:tcPr>
            <w:tcW w:w="1134" w:type="dxa"/>
            <w:tcBorders>
              <w:top w:val="single" w:sz="4" w:space="0" w:color="auto"/>
              <w:left w:val="nil"/>
              <w:bottom w:val="single" w:sz="8" w:space="0" w:color="auto"/>
              <w:right w:val="nil"/>
            </w:tcBorders>
            <w:shd w:val="clear" w:color="auto" w:fill="EDEDED"/>
            <w:noWrap/>
            <w:vAlign w:val="bottom"/>
            <w:hideMark/>
          </w:tcPr>
          <w:p w14:paraId="1B86169D"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III</w:t>
            </w:r>
          </w:p>
        </w:tc>
        <w:tc>
          <w:tcPr>
            <w:tcW w:w="1134" w:type="dxa"/>
            <w:tcBorders>
              <w:top w:val="single" w:sz="4" w:space="0" w:color="auto"/>
              <w:left w:val="nil"/>
              <w:bottom w:val="single" w:sz="8" w:space="0" w:color="auto"/>
              <w:right w:val="nil"/>
            </w:tcBorders>
            <w:shd w:val="clear" w:color="auto" w:fill="EDEDED"/>
            <w:noWrap/>
            <w:vAlign w:val="bottom"/>
            <w:hideMark/>
          </w:tcPr>
          <w:p w14:paraId="021E52E4"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IV</w:t>
            </w:r>
          </w:p>
        </w:tc>
        <w:tc>
          <w:tcPr>
            <w:tcW w:w="1134" w:type="dxa"/>
            <w:tcBorders>
              <w:top w:val="single" w:sz="4" w:space="0" w:color="auto"/>
              <w:left w:val="nil"/>
              <w:bottom w:val="single" w:sz="8" w:space="0" w:color="auto"/>
              <w:right w:val="nil"/>
            </w:tcBorders>
            <w:shd w:val="clear" w:color="auto" w:fill="EDEDED"/>
            <w:noWrap/>
            <w:vAlign w:val="bottom"/>
            <w:hideMark/>
          </w:tcPr>
          <w:p w14:paraId="605E9DBD"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V</w:t>
            </w:r>
          </w:p>
        </w:tc>
        <w:tc>
          <w:tcPr>
            <w:tcW w:w="1134" w:type="dxa"/>
            <w:tcBorders>
              <w:top w:val="single" w:sz="4" w:space="0" w:color="auto"/>
              <w:left w:val="nil"/>
              <w:bottom w:val="single" w:sz="8" w:space="0" w:color="auto"/>
              <w:right w:val="nil"/>
            </w:tcBorders>
            <w:shd w:val="clear" w:color="auto" w:fill="EDEDED"/>
            <w:noWrap/>
            <w:vAlign w:val="bottom"/>
            <w:hideMark/>
          </w:tcPr>
          <w:p w14:paraId="28D63C3F"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VI</w:t>
            </w:r>
          </w:p>
        </w:tc>
        <w:tc>
          <w:tcPr>
            <w:tcW w:w="1134" w:type="dxa"/>
            <w:tcBorders>
              <w:top w:val="single" w:sz="4" w:space="0" w:color="auto"/>
              <w:left w:val="nil"/>
              <w:bottom w:val="single" w:sz="8" w:space="0" w:color="auto"/>
              <w:right w:val="nil"/>
            </w:tcBorders>
            <w:shd w:val="clear" w:color="auto" w:fill="EDEDED"/>
            <w:noWrap/>
            <w:vAlign w:val="bottom"/>
            <w:hideMark/>
          </w:tcPr>
          <w:p w14:paraId="3DD20C89" w14:textId="77777777" w:rsidR="00A73D5E" w:rsidRPr="00EC3B28" w:rsidRDefault="00A73D5E" w:rsidP="001545FE">
            <w:pPr>
              <w:spacing w:after="0"/>
              <w:rPr>
                <w:rFonts w:eastAsia="Times New Roman"/>
                <w:sz w:val="20"/>
                <w:szCs w:val="20"/>
                <w:lang w:val="de-DE" w:eastAsia="de-DE"/>
              </w:rPr>
            </w:pPr>
            <w:r w:rsidRPr="00EC3B28">
              <w:rPr>
                <w:rFonts w:eastAsia="Times New Roman"/>
                <w:sz w:val="20"/>
                <w:szCs w:val="20"/>
                <w:lang w:val="de-DE" w:eastAsia="de-DE"/>
              </w:rPr>
              <w:t>VII</w:t>
            </w:r>
          </w:p>
        </w:tc>
      </w:tr>
      <w:tr w:rsidR="00A73D5E" w:rsidRPr="00EC3B28" w14:paraId="4489E24A" w14:textId="77777777" w:rsidTr="001545FE">
        <w:trPr>
          <w:trHeight w:val="300"/>
        </w:trPr>
        <w:tc>
          <w:tcPr>
            <w:tcW w:w="1134" w:type="dxa"/>
            <w:noWrap/>
            <w:vAlign w:val="bottom"/>
            <w:hideMark/>
          </w:tcPr>
          <w:p w14:paraId="7BED75C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01</w:t>
            </w:r>
          </w:p>
        </w:tc>
        <w:tc>
          <w:tcPr>
            <w:tcW w:w="1134" w:type="dxa"/>
            <w:noWrap/>
            <w:vAlign w:val="bottom"/>
            <w:hideMark/>
          </w:tcPr>
          <w:p w14:paraId="5FCC61A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3ECB485E"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17A40BED"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0B6A4B6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07DB9320"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0DA7EAE6"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7DEB3CD6"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r>
      <w:tr w:rsidR="00A73D5E" w:rsidRPr="00EC3B28" w14:paraId="1D92ED6B" w14:textId="77777777" w:rsidTr="001545FE">
        <w:trPr>
          <w:trHeight w:val="300"/>
        </w:trPr>
        <w:tc>
          <w:tcPr>
            <w:tcW w:w="1134" w:type="dxa"/>
            <w:noWrap/>
            <w:vAlign w:val="bottom"/>
            <w:hideMark/>
          </w:tcPr>
          <w:p w14:paraId="78BB172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02</w:t>
            </w:r>
          </w:p>
        </w:tc>
        <w:tc>
          <w:tcPr>
            <w:tcW w:w="1134" w:type="dxa"/>
            <w:noWrap/>
            <w:vAlign w:val="bottom"/>
            <w:hideMark/>
          </w:tcPr>
          <w:p w14:paraId="3C745769"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564A36FA"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782BFADF"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4A4425F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337220D2"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3C61DDD3"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1187B0B6"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r>
      <w:tr w:rsidR="00A73D5E" w:rsidRPr="00EC3B28" w14:paraId="7F5C3954" w14:textId="77777777" w:rsidTr="001545FE">
        <w:trPr>
          <w:trHeight w:val="300"/>
        </w:trPr>
        <w:tc>
          <w:tcPr>
            <w:tcW w:w="1134" w:type="dxa"/>
            <w:noWrap/>
            <w:vAlign w:val="bottom"/>
            <w:hideMark/>
          </w:tcPr>
          <w:p w14:paraId="28AAD74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03</w:t>
            </w:r>
          </w:p>
        </w:tc>
        <w:tc>
          <w:tcPr>
            <w:tcW w:w="1134" w:type="dxa"/>
            <w:noWrap/>
            <w:vAlign w:val="bottom"/>
            <w:hideMark/>
          </w:tcPr>
          <w:p w14:paraId="3D1245A4"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010685EA"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724C139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6B992AF3"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6E11AB94"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36F03DF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3986B1B5"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r>
      <w:tr w:rsidR="00A73D5E" w:rsidRPr="00EC3B28" w14:paraId="04A3813F" w14:textId="77777777" w:rsidTr="001545FE">
        <w:trPr>
          <w:trHeight w:val="300"/>
        </w:trPr>
        <w:tc>
          <w:tcPr>
            <w:tcW w:w="1134" w:type="dxa"/>
            <w:noWrap/>
            <w:vAlign w:val="bottom"/>
            <w:hideMark/>
          </w:tcPr>
          <w:p w14:paraId="10103DC9"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04</w:t>
            </w:r>
          </w:p>
        </w:tc>
        <w:tc>
          <w:tcPr>
            <w:tcW w:w="1134" w:type="dxa"/>
            <w:noWrap/>
            <w:vAlign w:val="bottom"/>
            <w:hideMark/>
          </w:tcPr>
          <w:p w14:paraId="5A1EFBA5"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71A8C88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73229A5E"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1188FD90"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4F744910"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3B23DD27"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69E8020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r>
      <w:tr w:rsidR="00A73D5E" w:rsidRPr="00EC3B28" w14:paraId="5F633A70" w14:textId="77777777" w:rsidTr="001545FE">
        <w:trPr>
          <w:trHeight w:val="300"/>
        </w:trPr>
        <w:tc>
          <w:tcPr>
            <w:tcW w:w="1134" w:type="dxa"/>
            <w:noWrap/>
            <w:vAlign w:val="bottom"/>
            <w:hideMark/>
          </w:tcPr>
          <w:p w14:paraId="0FA1FD2B"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05</w:t>
            </w:r>
          </w:p>
        </w:tc>
        <w:tc>
          <w:tcPr>
            <w:tcW w:w="1134" w:type="dxa"/>
            <w:noWrap/>
            <w:vAlign w:val="bottom"/>
            <w:hideMark/>
          </w:tcPr>
          <w:p w14:paraId="547A25B3"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6D051E04"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785D5F0F"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3114B9F6"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032EE16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388A918D"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36FE933C"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r>
      <w:tr w:rsidR="00A73D5E" w:rsidRPr="00EC3B28" w14:paraId="4805B7CC" w14:textId="77777777" w:rsidTr="001545FE">
        <w:trPr>
          <w:trHeight w:val="300"/>
        </w:trPr>
        <w:tc>
          <w:tcPr>
            <w:tcW w:w="1134" w:type="dxa"/>
            <w:noWrap/>
            <w:vAlign w:val="bottom"/>
            <w:hideMark/>
          </w:tcPr>
          <w:p w14:paraId="7CC5CC20"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06</w:t>
            </w:r>
          </w:p>
        </w:tc>
        <w:tc>
          <w:tcPr>
            <w:tcW w:w="1134" w:type="dxa"/>
            <w:noWrap/>
            <w:vAlign w:val="bottom"/>
            <w:hideMark/>
          </w:tcPr>
          <w:p w14:paraId="4B34E7FA"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47B44181"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6941C9FA"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1BEE6D0A"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24D9DDB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551BA174"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200DAF2B"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r>
      <w:tr w:rsidR="00A73D5E" w:rsidRPr="00EC3B28" w14:paraId="3B9BDEFB" w14:textId="77777777" w:rsidTr="001545FE">
        <w:trPr>
          <w:trHeight w:val="300"/>
        </w:trPr>
        <w:tc>
          <w:tcPr>
            <w:tcW w:w="1134" w:type="dxa"/>
            <w:noWrap/>
            <w:vAlign w:val="bottom"/>
            <w:hideMark/>
          </w:tcPr>
          <w:p w14:paraId="1E68E946"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07</w:t>
            </w:r>
          </w:p>
        </w:tc>
        <w:tc>
          <w:tcPr>
            <w:tcW w:w="1134" w:type="dxa"/>
            <w:noWrap/>
            <w:vAlign w:val="bottom"/>
            <w:hideMark/>
          </w:tcPr>
          <w:p w14:paraId="39C9E5F1"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11871B4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072E4CA3"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163EB487"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7EA05211"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67794AC3"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33360CF5"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r>
      <w:tr w:rsidR="00A73D5E" w:rsidRPr="00EC3B28" w14:paraId="23B8B91A" w14:textId="77777777" w:rsidTr="001545FE">
        <w:trPr>
          <w:trHeight w:val="300"/>
        </w:trPr>
        <w:tc>
          <w:tcPr>
            <w:tcW w:w="1134" w:type="dxa"/>
            <w:noWrap/>
            <w:vAlign w:val="bottom"/>
            <w:hideMark/>
          </w:tcPr>
          <w:p w14:paraId="65C62410"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Run 08</w:t>
            </w:r>
          </w:p>
        </w:tc>
        <w:tc>
          <w:tcPr>
            <w:tcW w:w="1134" w:type="dxa"/>
            <w:noWrap/>
            <w:vAlign w:val="bottom"/>
            <w:hideMark/>
          </w:tcPr>
          <w:p w14:paraId="7D6274B1"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4523A64F"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03AFEFDB"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c>
          <w:tcPr>
            <w:tcW w:w="1134" w:type="dxa"/>
            <w:noWrap/>
            <w:vAlign w:val="bottom"/>
            <w:hideMark/>
          </w:tcPr>
          <w:p w14:paraId="0F915F2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56FC36A8"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24C99C8E"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A</w:t>
            </w:r>
          </w:p>
        </w:tc>
        <w:tc>
          <w:tcPr>
            <w:tcW w:w="1134" w:type="dxa"/>
            <w:noWrap/>
            <w:vAlign w:val="bottom"/>
            <w:hideMark/>
          </w:tcPr>
          <w:p w14:paraId="6587BF09" w14:textId="77777777" w:rsidR="00A73D5E" w:rsidRPr="00EC3B28" w:rsidRDefault="00A73D5E" w:rsidP="001545FE">
            <w:pPr>
              <w:spacing w:after="0"/>
              <w:rPr>
                <w:rFonts w:eastAsia="Times New Roman"/>
                <w:color w:val="000000"/>
                <w:sz w:val="20"/>
                <w:szCs w:val="20"/>
                <w:lang w:val="de-DE" w:eastAsia="de-DE"/>
              </w:rPr>
            </w:pPr>
            <w:r w:rsidRPr="00EC3B28">
              <w:rPr>
                <w:rFonts w:eastAsia="Times New Roman"/>
                <w:color w:val="000000"/>
                <w:sz w:val="20"/>
                <w:szCs w:val="20"/>
                <w:lang w:val="de-DE" w:eastAsia="de-DE"/>
              </w:rPr>
              <w:t>B</w:t>
            </w:r>
          </w:p>
        </w:tc>
      </w:tr>
    </w:tbl>
    <w:p w14:paraId="00A1E574" w14:textId="77777777" w:rsidR="00A73D5E" w:rsidRPr="00EC3B28" w:rsidRDefault="00A73D5E" w:rsidP="00A73D5E">
      <w:pPr>
        <w:spacing w:after="0"/>
        <w:rPr>
          <w:rFonts w:eastAsiaTheme="minorEastAsia"/>
          <w:sz w:val="20"/>
          <w:szCs w:val="20"/>
        </w:rPr>
      </w:pPr>
    </w:p>
    <w:p w14:paraId="5DEC3FCC" w14:textId="2F8FF29A" w:rsidR="00A73D5E" w:rsidRPr="00EC3B28" w:rsidRDefault="00A73D5E" w:rsidP="00A73D5E">
      <w:pPr>
        <w:spacing w:after="0"/>
        <w:rPr>
          <w:rFonts w:eastAsiaTheme="minorEastAsia"/>
          <w:sz w:val="20"/>
          <w:szCs w:val="20"/>
        </w:rPr>
      </w:pPr>
      <w:r w:rsidRPr="00EC3B28">
        <w:rPr>
          <w:rFonts w:eastAsiaTheme="minorEastAsia"/>
          <w:sz w:val="20"/>
          <w:szCs w:val="20"/>
        </w:rPr>
        <w:t>The calculation of the method characteristics shall be calculated</w:t>
      </w:r>
      <w:r w:rsidR="006639E1">
        <w:rPr>
          <w:rFonts w:eastAsiaTheme="minorEastAsia"/>
          <w:sz w:val="20"/>
          <w:szCs w:val="20"/>
        </w:rPr>
        <w:t xml:space="preserve"> as described by Jülicher et al</w:t>
      </w:r>
      <w:r w:rsidR="005F53E1">
        <w:rPr>
          <w:rFonts w:eastAsiaTheme="minorEastAsia"/>
          <w:sz w:val="20"/>
          <w:szCs w:val="20"/>
        </w:rPr>
        <w:t>.</w:t>
      </w:r>
      <w:r w:rsidR="006639E1">
        <w:rPr>
          <w:rStyle w:val="FootnoteReference"/>
          <w:rFonts w:eastAsiaTheme="minorEastAsia"/>
          <w:sz w:val="20"/>
          <w:szCs w:val="20"/>
        </w:rPr>
        <w:footnoteReference w:id="5"/>
      </w:r>
    </w:p>
    <w:p w14:paraId="17550C58" w14:textId="018DB272" w:rsidR="00A73D5E" w:rsidRPr="00EC3B28" w:rsidRDefault="00A73D5E" w:rsidP="00A73D5E">
      <w:pPr>
        <w:pStyle w:val="Heading3"/>
        <w:rPr>
          <w:rFonts w:ascii="Times New Roman" w:hAnsi="Times New Roman" w:cs="Times New Roman"/>
          <w:color w:val="000000" w:themeColor="text1"/>
          <w:sz w:val="20"/>
          <w:szCs w:val="20"/>
        </w:rPr>
      </w:pPr>
      <w:bookmarkStart w:id="50" w:name="_Toc5193404"/>
      <w:r w:rsidRPr="00EC3B28">
        <w:rPr>
          <w:rFonts w:ascii="Times New Roman" w:hAnsi="Times New Roman" w:cs="Times New Roman"/>
          <w:color w:val="000000" w:themeColor="text1"/>
          <w:sz w:val="20"/>
          <w:szCs w:val="20"/>
        </w:rPr>
        <w:t>2.2.</w:t>
      </w:r>
      <w:bookmarkStart w:id="51" w:name="_Toc535221049"/>
      <w:r w:rsidRPr="00EC3B28">
        <w:rPr>
          <w:rFonts w:ascii="Times New Roman" w:hAnsi="Times New Roman" w:cs="Times New Roman"/>
          <w:color w:val="000000" w:themeColor="text1"/>
          <w:sz w:val="20"/>
          <w:szCs w:val="20"/>
        </w:rPr>
        <w:t>3 Other validation approaches</w:t>
      </w:r>
      <w:bookmarkEnd w:id="50"/>
    </w:p>
    <w:p w14:paraId="34C75673" w14:textId="18175751" w:rsidR="00A73D5E" w:rsidRDefault="00A73D5E" w:rsidP="00A73D5E">
      <w:pPr>
        <w:rPr>
          <w:rFonts w:eastAsia="Arial"/>
          <w:sz w:val="20"/>
          <w:szCs w:val="20"/>
        </w:rPr>
      </w:pPr>
      <w:r w:rsidRPr="00EC3B28">
        <w:rPr>
          <w:rFonts w:eastAsia="Arial"/>
          <w:sz w:val="20"/>
          <w:szCs w:val="20"/>
        </w:rPr>
        <w:t xml:space="preserve">Other approaches to demonstrate that the method complies with performance criteria for the </w:t>
      </w:r>
      <w:r w:rsidRPr="00EC3B28">
        <w:rPr>
          <w:sz w:val="20"/>
          <w:szCs w:val="20"/>
        </w:rPr>
        <w:t>performance characteristics</w:t>
      </w:r>
      <w:bookmarkEnd w:id="51"/>
      <w:r w:rsidRPr="00EC3B28">
        <w:rPr>
          <w:rFonts w:eastAsia="Arial"/>
          <w:sz w:val="20"/>
          <w:szCs w:val="20"/>
        </w:rPr>
        <w:t xml:space="preserve"> may be used, provided that they achieve the same level and quality of information. Validation can also be performed by conducting an inter laboratory study such as established by Codex</w:t>
      </w:r>
      <w:r w:rsidR="00620238">
        <w:rPr>
          <w:rFonts w:eastAsia="Arial"/>
          <w:sz w:val="20"/>
          <w:szCs w:val="20"/>
        </w:rPr>
        <w:t xml:space="preserve"> Alimentarius, ISO or the IUPAC</w:t>
      </w:r>
      <w:r w:rsidR="00241AEE">
        <w:rPr>
          <w:rStyle w:val="FootnoteReference"/>
          <w:rFonts w:eastAsia="Arial"/>
          <w:sz w:val="20"/>
          <w:szCs w:val="20"/>
        </w:rPr>
        <w:footnoteReference w:id="6"/>
      </w:r>
      <w:r w:rsidRPr="00EC3B28">
        <w:rPr>
          <w:rFonts w:eastAsia="Arial"/>
          <w:sz w:val="20"/>
          <w:szCs w:val="20"/>
        </w:rPr>
        <w:t xml:space="preserve">, or according to alternative methods such as single laboratory studies or in-house </w:t>
      </w:r>
      <w:r w:rsidRPr="002408D8">
        <w:rPr>
          <w:rFonts w:eastAsia="Arial"/>
          <w:sz w:val="20"/>
          <w:szCs w:val="20"/>
        </w:rPr>
        <w:t>validation</w:t>
      </w:r>
      <w:r w:rsidR="00241AEE">
        <w:rPr>
          <w:rStyle w:val="FootnoteReference"/>
          <w:rFonts w:eastAsia="Arial"/>
          <w:sz w:val="20"/>
          <w:szCs w:val="20"/>
        </w:rPr>
        <w:footnoteReference w:id="7"/>
      </w:r>
      <w:r w:rsidR="004E5BE9">
        <w:rPr>
          <w:rFonts w:eastAsia="Arial"/>
          <w:sz w:val="20"/>
          <w:szCs w:val="20"/>
          <w:vertAlign w:val="superscript"/>
        </w:rPr>
        <w:t>,</w:t>
      </w:r>
      <w:r w:rsidR="00241AEE">
        <w:rPr>
          <w:rStyle w:val="FootnoteReference"/>
          <w:rFonts w:eastAsia="Arial"/>
          <w:sz w:val="20"/>
          <w:szCs w:val="20"/>
        </w:rPr>
        <w:footnoteReference w:id="8"/>
      </w:r>
      <w:r w:rsidRPr="00EC3B28">
        <w:rPr>
          <w:rFonts w:eastAsia="Arial"/>
          <w:sz w:val="20"/>
          <w:szCs w:val="20"/>
        </w:rPr>
        <w:t>. When alternative validation procedures are applied, the underlying model and strategy with the respective prerequisites, assumptions and formulae shall be laid down in the validation protocol or at least references shall be given to their availability.</w:t>
      </w:r>
    </w:p>
    <w:p w14:paraId="527D6B9B" w14:textId="77777777" w:rsidR="00725F0F" w:rsidRPr="00EC3B28" w:rsidRDefault="00725F0F" w:rsidP="00A73D5E">
      <w:pPr>
        <w:rPr>
          <w:sz w:val="20"/>
          <w:szCs w:val="20"/>
        </w:rPr>
      </w:pPr>
    </w:p>
    <w:p w14:paraId="5E4C4262" w14:textId="77777777" w:rsidR="00A73D5E" w:rsidRPr="00EC3B28" w:rsidRDefault="00A73D5E" w:rsidP="00A73D5E">
      <w:pPr>
        <w:pStyle w:val="Heading2"/>
        <w:rPr>
          <w:rFonts w:ascii="Times New Roman" w:hAnsi="Times New Roman" w:cs="Times New Roman"/>
          <w:color w:val="000000" w:themeColor="text1"/>
          <w:sz w:val="20"/>
          <w:szCs w:val="20"/>
        </w:rPr>
      </w:pPr>
      <w:bookmarkStart w:id="52" w:name="_Toc5193405"/>
      <w:r w:rsidRPr="00EC3B28">
        <w:rPr>
          <w:rFonts w:ascii="Times New Roman" w:hAnsi="Times New Roman" w:cs="Times New Roman"/>
          <w:color w:val="000000" w:themeColor="text1"/>
          <w:sz w:val="20"/>
          <w:szCs w:val="20"/>
        </w:rPr>
        <w:t>2.</w:t>
      </w:r>
      <w:bookmarkStart w:id="53" w:name="_Toc535221050"/>
      <w:r w:rsidRPr="00EC3B28">
        <w:rPr>
          <w:rFonts w:ascii="Times New Roman" w:hAnsi="Times New Roman" w:cs="Times New Roman"/>
          <w:color w:val="000000" w:themeColor="text1"/>
          <w:sz w:val="20"/>
          <w:szCs w:val="20"/>
        </w:rPr>
        <w:t>3 Specificity</w:t>
      </w:r>
      <w:bookmarkEnd w:id="52"/>
      <w:bookmarkEnd w:id="53"/>
    </w:p>
    <w:p w14:paraId="2E9B83D1" w14:textId="1CF63221" w:rsidR="00A73D5E" w:rsidRPr="00EC3B28" w:rsidRDefault="00A73D5E" w:rsidP="00725F0F">
      <w:pPr>
        <w:spacing w:after="0"/>
        <w:rPr>
          <w:rFonts w:eastAsiaTheme="minorEastAsia"/>
          <w:sz w:val="20"/>
          <w:szCs w:val="20"/>
        </w:rPr>
      </w:pPr>
      <w:r w:rsidRPr="00EC3B28">
        <w:rPr>
          <w:rFonts w:eastAsiaTheme="minorEastAsia"/>
          <w:sz w:val="20"/>
          <w:szCs w:val="20"/>
        </w:rPr>
        <w:t>The power of discrimination between the analyte and closely related substances shall be determined to the best possible extent</w:t>
      </w:r>
      <w:r w:rsidRPr="00EC3B28">
        <w:rPr>
          <w:rFonts w:eastAsia="Arial"/>
          <w:sz w:val="20"/>
          <w:szCs w:val="20"/>
        </w:rPr>
        <w:t xml:space="preserve">. Interference of homologues, isomers, degradation products, endogenous substances, analogues, metabolic products of the residue of interest, of matrix compounds or of any other </w:t>
      </w:r>
      <w:r w:rsidR="00000B26">
        <w:rPr>
          <w:rFonts w:eastAsia="Arial"/>
          <w:sz w:val="20"/>
          <w:szCs w:val="20"/>
        </w:rPr>
        <w:t xml:space="preserve">possibly </w:t>
      </w:r>
      <w:r w:rsidRPr="00EC3B28">
        <w:rPr>
          <w:rFonts w:eastAsia="Arial"/>
          <w:sz w:val="20"/>
          <w:szCs w:val="20"/>
        </w:rPr>
        <w:t>interfering substance shall be determined and if needed the method shall be amended to avoid the identified interferences. For determining the specificity of the method, the following approach shall be used:</w:t>
      </w:r>
    </w:p>
    <w:p w14:paraId="1F1CB714" w14:textId="4ED8DB2C" w:rsidR="00A73D5E" w:rsidRPr="00EC3B28" w:rsidRDefault="00A73D5E" w:rsidP="00725F0F">
      <w:pPr>
        <w:spacing w:after="0"/>
        <w:rPr>
          <w:rFonts w:eastAsiaTheme="minorEastAsia"/>
          <w:sz w:val="20"/>
          <w:szCs w:val="20"/>
        </w:rPr>
      </w:pPr>
      <w:r w:rsidRPr="00EC3B28">
        <w:rPr>
          <w:rFonts w:eastAsiaTheme="minorEastAsia"/>
          <w:sz w:val="20"/>
          <w:szCs w:val="20"/>
        </w:rPr>
        <w:t xml:space="preserve">- select a range of chemically related compounds or other substances likely to be encountered with the compound of interest that may be present in the samples and verify whether they </w:t>
      </w:r>
      <w:r w:rsidR="00000B26">
        <w:rPr>
          <w:rFonts w:eastAsiaTheme="minorEastAsia"/>
          <w:sz w:val="20"/>
          <w:szCs w:val="20"/>
        </w:rPr>
        <w:t xml:space="preserve">could </w:t>
      </w:r>
      <w:r w:rsidRPr="00EC3B28">
        <w:rPr>
          <w:rFonts w:eastAsiaTheme="minorEastAsia"/>
          <w:sz w:val="20"/>
          <w:szCs w:val="20"/>
        </w:rPr>
        <w:t>interfere with the analysis of the target analytes.</w:t>
      </w:r>
    </w:p>
    <w:p w14:paraId="2BA83F0D" w14:textId="6F07F24D" w:rsidR="00A73D5E" w:rsidRPr="00EC3B28" w:rsidRDefault="00A73D5E" w:rsidP="00725F0F">
      <w:pPr>
        <w:spacing w:after="0"/>
        <w:rPr>
          <w:rFonts w:eastAsiaTheme="minorEastAsia"/>
          <w:sz w:val="20"/>
          <w:szCs w:val="20"/>
        </w:rPr>
      </w:pPr>
      <w:r w:rsidRPr="00EC3B28">
        <w:rPr>
          <w:rFonts w:eastAsiaTheme="minorEastAsia"/>
          <w:sz w:val="20"/>
          <w:szCs w:val="20"/>
        </w:rPr>
        <w:t>- analyse an appropriate number of representative blank samples e</w:t>
      </w:r>
      <w:r w:rsidR="00E01501">
        <w:rPr>
          <w:rFonts w:eastAsiaTheme="minorEastAsia"/>
          <w:sz w:val="20"/>
          <w:szCs w:val="20"/>
        </w:rPr>
        <w:t>.</w:t>
      </w:r>
      <w:r w:rsidRPr="00EC3B28">
        <w:rPr>
          <w:rFonts w:eastAsiaTheme="minorEastAsia"/>
          <w:sz w:val="20"/>
          <w:szCs w:val="20"/>
        </w:rPr>
        <w:t>g. different lots or lots of different animal species (n &gt;= 20) and check for any interferences of signals, peaks or ion traces in the region of interest where the target analyte is expected to elute;</w:t>
      </w:r>
    </w:p>
    <w:p w14:paraId="7087A5D2" w14:textId="08ED05D9" w:rsidR="00A73D5E" w:rsidRPr="00EC3B28" w:rsidRDefault="00A73D5E" w:rsidP="00725F0F">
      <w:pPr>
        <w:spacing w:after="0"/>
        <w:rPr>
          <w:rFonts w:eastAsiaTheme="minorEastAsia"/>
          <w:sz w:val="20"/>
          <w:szCs w:val="20"/>
        </w:rPr>
      </w:pPr>
      <w:r w:rsidRPr="00EC3B28">
        <w:rPr>
          <w:rFonts w:eastAsiaTheme="minorEastAsia"/>
          <w:sz w:val="20"/>
          <w:szCs w:val="20"/>
        </w:rPr>
        <w:t xml:space="preserve">- fortify representative blank samples at a relevant concentration with substances that </w:t>
      </w:r>
      <w:r w:rsidR="008602D5">
        <w:rPr>
          <w:rFonts w:eastAsiaTheme="minorEastAsia"/>
          <w:sz w:val="20"/>
          <w:szCs w:val="20"/>
        </w:rPr>
        <w:t xml:space="preserve">could possibly </w:t>
      </w:r>
      <w:r w:rsidRPr="00EC3B28">
        <w:rPr>
          <w:rFonts w:eastAsiaTheme="minorEastAsia"/>
          <w:sz w:val="20"/>
          <w:szCs w:val="20"/>
        </w:rPr>
        <w:t>interfere with the identification and/or quantification of the analyte and investigate whether the added substance:</w:t>
      </w:r>
    </w:p>
    <w:p w14:paraId="1EF149CD" w14:textId="77777777" w:rsidR="00A73D5E" w:rsidRPr="00EC3B28" w:rsidRDefault="00A73D5E" w:rsidP="00725F0F">
      <w:pPr>
        <w:spacing w:after="0"/>
        <w:ind w:left="720"/>
        <w:rPr>
          <w:rFonts w:eastAsiaTheme="minorEastAsia"/>
          <w:sz w:val="20"/>
          <w:szCs w:val="20"/>
        </w:rPr>
      </w:pPr>
      <w:r w:rsidRPr="00EC3B28">
        <w:rPr>
          <w:rFonts w:eastAsiaTheme="minorEastAsia"/>
          <w:sz w:val="20"/>
          <w:szCs w:val="20"/>
        </w:rPr>
        <w:t>- may lead to a false identification</w:t>
      </w:r>
    </w:p>
    <w:p w14:paraId="29A8EF27" w14:textId="77777777" w:rsidR="00A73D5E" w:rsidRPr="00EC3B28" w:rsidRDefault="00A73D5E" w:rsidP="00725F0F">
      <w:pPr>
        <w:spacing w:after="0"/>
        <w:ind w:left="720"/>
        <w:rPr>
          <w:rFonts w:eastAsiaTheme="minorEastAsia"/>
          <w:sz w:val="20"/>
          <w:szCs w:val="20"/>
        </w:rPr>
      </w:pPr>
      <w:r w:rsidRPr="00EC3B28">
        <w:rPr>
          <w:rFonts w:eastAsiaTheme="minorEastAsia"/>
          <w:sz w:val="20"/>
          <w:szCs w:val="20"/>
        </w:rPr>
        <w:t xml:space="preserve">- hinders the identification of the target analyte </w:t>
      </w:r>
    </w:p>
    <w:p w14:paraId="50EB6F0D" w14:textId="07841B06" w:rsidR="00A73D5E" w:rsidRDefault="00A73D5E" w:rsidP="00725F0F">
      <w:pPr>
        <w:spacing w:after="0"/>
        <w:ind w:left="720"/>
        <w:rPr>
          <w:rFonts w:eastAsiaTheme="minorEastAsia"/>
          <w:sz w:val="20"/>
          <w:szCs w:val="20"/>
        </w:rPr>
      </w:pPr>
      <w:r w:rsidRPr="00EC3B28">
        <w:rPr>
          <w:rFonts w:eastAsiaTheme="minorEastAsia"/>
          <w:sz w:val="20"/>
          <w:szCs w:val="20"/>
        </w:rPr>
        <w:t>- influences the quantification notably</w:t>
      </w:r>
    </w:p>
    <w:p w14:paraId="720D6FEC" w14:textId="77777777" w:rsidR="00725F0F" w:rsidRPr="00EC3B28" w:rsidRDefault="00725F0F" w:rsidP="00725F0F">
      <w:pPr>
        <w:spacing w:after="0"/>
        <w:ind w:left="720"/>
        <w:rPr>
          <w:rFonts w:eastAsiaTheme="minorEastAsia"/>
          <w:sz w:val="20"/>
          <w:szCs w:val="20"/>
        </w:rPr>
      </w:pPr>
    </w:p>
    <w:p w14:paraId="7310354A" w14:textId="77777777" w:rsidR="00A73D5E" w:rsidRPr="00EC3B28" w:rsidRDefault="00A73D5E" w:rsidP="00A73D5E">
      <w:pPr>
        <w:pStyle w:val="Heading2"/>
        <w:rPr>
          <w:rFonts w:ascii="Times New Roman" w:hAnsi="Times New Roman" w:cs="Times New Roman"/>
          <w:color w:val="000000" w:themeColor="text1"/>
          <w:sz w:val="20"/>
          <w:szCs w:val="20"/>
        </w:rPr>
      </w:pPr>
      <w:bookmarkStart w:id="54" w:name="_Toc5193406"/>
      <w:r w:rsidRPr="00EC3B28">
        <w:rPr>
          <w:rFonts w:ascii="Times New Roman" w:hAnsi="Times New Roman" w:cs="Times New Roman"/>
          <w:color w:val="000000" w:themeColor="text1"/>
          <w:sz w:val="20"/>
          <w:szCs w:val="20"/>
        </w:rPr>
        <w:t>2.4 Ruggedness</w:t>
      </w:r>
      <w:bookmarkEnd w:id="54"/>
    </w:p>
    <w:p w14:paraId="4FD9437B" w14:textId="6F92B57D" w:rsidR="00A73D5E" w:rsidRPr="00EC3B28" w:rsidRDefault="00A73D5E" w:rsidP="00A73D5E">
      <w:pPr>
        <w:spacing w:after="0"/>
        <w:rPr>
          <w:rFonts w:eastAsia="Calibri"/>
          <w:sz w:val="20"/>
          <w:szCs w:val="20"/>
        </w:rPr>
      </w:pPr>
      <w:r w:rsidRPr="00EC3B28">
        <w:rPr>
          <w:rFonts w:eastAsia="Calibri"/>
          <w:sz w:val="20"/>
          <w:szCs w:val="20"/>
        </w:rPr>
        <w:t>The analytical method shall be tested for its continued performance under different experimental conditions, which include for example different sampling conditions</w:t>
      </w:r>
      <w:r w:rsidR="00000B26">
        <w:rPr>
          <w:rFonts w:eastAsia="Calibri"/>
          <w:sz w:val="20"/>
          <w:szCs w:val="20"/>
        </w:rPr>
        <w:t xml:space="preserve"> and minor changes that can occur in routine testing</w:t>
      </w:r>
      <w:r w:rsidRPr="00EC3B28">
        <w:rPr>
          <w:rFonts w:eastAsia="Calibri"/>
          <w:sz w:val="20"/>
          <w:szCs w:val="20"/>
        </w:rPr>
        <w:t xml:space="preserve">. For testing the ruggedness of the method, the changes introduced in the experimental conditions should be </w:t>
      </w:r>
      <w:r w:rsidR="00000B26">
        <w:rPr>
          <w:rFonts w:eastAsia="Calibri"/>
          <w:sz w:val="20"/>
          <w:szCs w:val="20"/>
        </w:rPr>
        <w:t>min</w:t>
      </w:r>
      <w:r w:rsidR="00000B26" w:rsidRPr="00EC3B28">
        <w:rPr>
          <w:rFonts w:eastAsia="Calibri"/>
          <w:sz w:val="20"/>
          <w:szCs w:val="20"/>
        </w:rPr>
        <w:t>or</w:t>
      </w:r>
      <w:r w:rsidRPr="00EC3B28">
        <w:rPr>
          <w:rFonts w:eastAsia="Calibri"/>
          <w:sz w:val="20"/>
          <w:szCs w:val="20"/>
        </w:rPr>
        <w:t xml:space="preserve">. The importance of these changes shall be evaluated, for instance, using the Youden </w:t>
      </w:r>
      <w:r w:rsidRPr="00690A72">
        <w:rPr>
          <w:rFonts w:eastAsia="Calibri"/>
          <w:sz w:val="20"/>
          <w:szCs w:val="20"/>
        </w:rPr>
        <w:t>approach</w:t>
      </w:r>
      <w:bookmarkStart w:id="55" w:name="_Ref6316951"/>
      <w:r w:rsidR="00513987" w:rsidRPr="00690A72">
        <w:rPr>
          <w:rStyle w:val="FootnoteReference"/>
          <w:sz w:val="20"/>
          <w:szCs w:val="20"/>
        </w:rPr>
        <w:footnoteReference w:id="9"/>
      </w:r>
      <w:bookmarkStart w:id="56" w:name="_Ref6316974"/>
      <w:bookmarkEnd w:id="55"/>
      <w:r w:rsidR="005F53E1" w:rsidRPr="005F53E1">
        <w:rPr>
          <w:rFonts w:eastAsia="Calibri"/>
          <w:sz w:val="20"/>
          <w:szCs w:val="20"/>
          <w:vertAlign w:val="superscript"/>
        </w:rPr>
        <w:t>,</w:t>
      </w:r>
      <w:r w:rsidR="002C664D" w:rsidRPr="00690A72">
        <w:rPr>
          <w:rStyle w:val="FootnoteReference"/>
          <w:sz w:val="20"/>
          <w:szCs w:val="20"/>
        </w:rPr>
        <w:footnoteReference w:id="10"/>
      </w:r>
      <w:bookmarkEnd w:id="56"/>
      <w:r w:rsidRPr="00690A72">
        <w:rPr>
          <w:rFonts w:eastAsia="Calibri"/>
          <w:sz w:val="20"/>
          <w:szCs w:val="20"/>
        </w:rPr>
        <w:t xml:space="preserve">. </w:t>
      </w:r>
      <w:r w:rsidRPr="00EC3B28">
        <w:rPr>
          <w:rFonts w:eastAsia="Calibri"/>
          <w:sz w:val="20"/>
          <w:szCs w:val="20"/>
        </w:rPr>
        <w:t xml:space="preserve">Each performance characteristic shall be determined for all </w:t>
      </w:r>
      <w:r w:rsidR="00000B26">
        <w:rPr>
          <w:rFonts w:eastAsia="Calibri"/>
          <w:sz w:val="20"/>
          <w:szCs w:val="20"/>
        </w:rPr>
        <w:t>min</w:t>
      </w:r>
      <w:r w:rsidR="00000B26" w:rsidRPr="00EC3B28">
        <w:rPr>
          <w:rFonts w:eastAsia="Calibri"/>
          <w:sz w:val="20"/>
          <w:szCs w:val="20"/>
        </w:rPr>
        <w:t xml:space="preserve">or </w:t>
      </w:r>
      <w:r w:rsidRPr="00EC3B28">
        <w:rPr>
          <w:rFonts w:eastAsia="Calibri"/>
          <w:sz w:val="20"/>
          <w:szCs w:val="20"/>
        </w:rPr>
        <w:t>changes that have been shown to have a significant effect on the performance of the assay. The ruggedness of the analytical method shall be determined using the following approach:</w:t>
      </w:r>
    </w:p>
    <w:p w14:paraId="2E493437" w14:textId="29ADE22F" w:rsidR="00A73D5E" w:rsidRPr="00EC3B28" w:rsidRDefault="00A73D5E" w:rsidP="00A73D5E">
      <w:pPr>
        <w:spacing w:after="0"/>
        <w:rPr>
          <w:rFonts w:eastAsiaTheme="minorEastAsia"/>
          <w:sz w:val="20"/>
          <w:szCs w:val="20"/>
        </w:rPr>
      </w:pPr>
      <w:r w:rsidRPr="00EC3B28">
        <w:rPr>
          <w:rFonts w:eastAsiaTheme="minorEastAsia"/>
          <w:sz w:val="20"/>
          <w:szCs w:val="20"/>
        </w:rPr>
        <w:t>-</w:t>
      </w:r>
      <w:r w:rsidR="00E01501">
        <w:rPr>
          <w:rFonts w:eastAsiaTheme="minorEastAsia"/>
          <w:sz w:val="20"/>
          <w:szCs w:val="20"/>
        </w:rPr>
        <w:t xml:space="preserve"> </w:t>
      </w:r>
      <w:r w:rsidRPr="00EC3B28">
        <w:rPr>
          <w:rFonts w:eastAsiaTheme="minorEastAsia"/>
          <w:sz w:val="20"/>
          <w:szCs w:val="20"/>
        </w:rPr>
        <w:t>Select factors of the sample pre-treatment, clean up and analysis, which may influence the measurement results. Such factors may include the analyst, the source and the age of reagents, solvents, standards and sample extracts, the rate of heating, the temperature, the pH-value as well as many other factors that may occur in the laboratory. These factors shall be modified in an order of magnitude that matches the deviations usually encountered among laboratories.</w:t>
      </w:r>
    </w:p>
    <w:p w14:paraId="4964FC45" w14:textId="53F9F271" w:rsidR="00A73D5E" w:rsidRPr="00EC3B28" w:rsidRDefault="00A73D5E" w:rsidP="00A73D5E">
      <w:pPr>
        <w:spacing w:after="0"/>
        <w:rPr>
          <w:rFonts w:eastAsiaTheme="minorEastAsia"/>
          <w:sz w:val="20"/>
          <w:szCs w:val="20"/>
        </w:rPr>
      </w:pPr>
      <w:r w:rsidRPr="00EC3B28">
        <w:rPr>
          <w:rFonts w:eastAsiaTheme="minorEastAsia"/>
          <w:sz w:val="20"/>
          <w:szCs w:val="20"/>
        </w:rPr>
        <w:t>- Conduct a ruggedness test using the fractional factorial design approach of Youden</w:t>
      </w:r>
      <w:r w:rsidR="00E754CB" w:rsidRPr="00E754CB">
        <w:rPr>
          <w:rFonts w:eastAsiaTheme="minorEastAsia"/>
          <w:sz w:val="20"/>
          <w:szCs w:val="20"/>
          <w:vertAlign w:val="superscript"/>
        </w:rPr>
        <w:t>10</w:t>
      </w:r>
      <w:r w:rsidR="0058394B">
        <w:rPr>
          <w:sz w:val="20"/>
          <w:szCs w:val="20"/>
        </w:rPr>
        <w:t xml:space="preserve"> </w:t>
      </w:r>
      <w:r w:rsidRPr="00EC3B28">
        <w:rPr>
          <w:rFonts w:eastAsiaTheme="minorEastAsia"/>
          <w:sz w:val="20"/>
          <w:szCs w:val="20"/>
        </w:rPr>
        <w:t xml:space="preserve">or an alternative method.  </w:t>
      </w:r>
      <w:r w:rsidRPr="00EC3B28">
        <w:rPr>
          <w:sz w:val="20"/>
          <w:szCs w:val="20"/>
        </w:rPr>
        <w:t>Interactions between the different factors cannot be detected.</w:t>
      </w:r>
    </w:p>
    <w:p w14:paraId="422EB82F" w14:textId="77777777" w:rsidR="00A73D5E" w:rsidRPr="00EC3B28" w:rsidRDefault="00A73D5E" w:rsidP="00A73D5E">
      <w:pPr>
        <w:spacing w:after="0"/>
        <w:rPr>
          <w:rFonts w:eastAsiaTheme="minorEastAsia"/>
          <w:sz w:val="20"/>
          <w:szCs w:val="20"/>
        </w:rPr>
      </w:pPr>
      <w:r w:rsidRPr="00EC3B28">
        <w:rPr>
          <w:rFonts w:eastAsiaTheme="minorEastAsia"/>
          <w:sz w:val="20"/>
          <w:szCs w:val="20"/>
        </w:rPr>
        <w:t>- Where a factor is found to influence the measurement results significantly, conduct further experiments to decide on the acceptability limits of this factor.</w:t>
      </w:r>
    </w:p>
    <w:p w14:paraId="155CCA1B" w14:textId="77777777" w:rsidR="00A73D5E" w:rsidRPr="00EC3B28" w:rsidRDefault="00A73D5E" w:rsidP="00A73D5E">
      <w:pPr>
        <w:spacing w:after="0"/>
        <w:rPr>
          <w:rFonts w:eastAsiaTheme="minorEastAsia"/>
          <w:sz w:val="20"/>
          <w:szCs w:val="20"/>
        </w:rPr>
      </w:pPr>
      <w:r w:rsidRPr="00EC3B28">
        <w:rPr>
          <w:rFonts w:eastAsiaTheme="minorEastAsia"/>
          <w:sz w:val="20"/>
          <w:szCs w:val="20"/>
        </w:rPr>
        <w:t>- Factors that significantly influence the results shall be identified clearly in the method protocol.</w:t>
      </w:r>
    </w:p>
    <w:p w14:paraId="62719290" w14:textId="0369736D" w:rsidR="008D1C80" w:rsidRPr="00EC3B28" w:rsidRDefault="00A73D5E" w:rsidP="00A73D5E">
      <w:pPr>
        <w:spacing w:after="0"/>
        <w:rPr>
          <w:rFonts w:eastAsiaTheme="minorEastAsia"/>
          <w:sz w:val="20"/>
          <w:szCs w:val="20"/>
        </w:rPr>
      </w:pPr>
      <w:r w:rsidRPr="00EC3B28">
        <w:rPr>
          <w:rFonts w:eastAsiaTheme="minorEastAsia"/>
          <w:sz w:val="20"/>
          <w:szCs w:val="20"/>
        </w:rPr>
        <w:t xml:space="preserve">The Youden approach introduces several variations at once, instead of studying one alteration at a time. In the example below A, B, C, D, E, F, G denote the nominal values for seven different factors that could influence the results, if their nominal values are changed slightly. </w:t>
      </w:r>
    </w:p>
    <w:p w14:paraId="681C6F5B" w14:textId="4DE6DF9B" w:rsidR="00A73D5E" w:rsidRPr="00EC3B28" w:rsidRDefault="00A73D5E" w:rsidP="00A73D5E">
      <w:pPr>
        <w:spacing w:after="0"/>
        <w:rPr>
          <w:rFonts w:eastAsiaTheme="minorEastAsia"/>
          <w:sz w:val="20"/>
          <w:szCs w:val="20"/>
        </w:rPr>
      </w:pPr>
      <w:r w:rsidRPr="00EC3B28">
        <w:rPr>
          <w:rFonts w:eastAsiaTheme="minorEastAsia"/>
          <w:sz w:val="20"/>
          <w:szCs w:val="20"/>
        </w:rPr>
        <w:t>Alternative values for the seven factors are denoted by the corresponding lower case letters a, b, c, d, e, f and g. This results in 27 or 128 different possible combinations.</w:t>
      </w:r>
    </w:p>
    <w:p w14:paraId="250362F4" w14:textId="77777777" w:rsidR="00EA55CC" w:rsidRPr="00EC3B28" w:rsidRDefault="00EA55CC" w:rsidP="00A73D5E">
      <w:pPr>
        <w:spacing w:after="0"/>
        <w:rPr>
          <w:rFonts w:eastAsiaTheme="minorEastAsia"/>
          <w:sz w:val="20"/>
          <w:szCs w:val="20"/>
        </w:rPr>
      </w:pPr>
    </w:p>
    <w:p w14:paraId="25E8DFDC" w14:textId="79BBC08F" w:rsidR="00A73D5E" w:rsidRPr="00EC3B28" w:rsidRDefault="00A73D5E" w:rsidP="00A73D5E">
      <w:pPr>
        <w:rPr>
          <w:rFonts w:eastAsia="Arial"/>
          <w:sz w:val="20"/>
          <w:szCs w:val="20"/>
        </w:rPr>
      </w:pPr>
      <w:r w:rsidRPr="00EC3B28">
        <w:rPr>
          <w:rFonts w:eastAsiaTheme="minorEastAsia"/>
          <w:sz w:val="20"/>
          <w:szCs w:val="20"/>
        </w:rPr>
        <w:t>It is possible to choose a subset of eight of these combinations that have a balance between cap</w:t>
      </w:r>
      <w:r w:rsidR="004E5BE9">
        <w:rPr>
          <w:rFonts w:eastAsiaTheme="minorEastAsia"/>
          <w:sz w:val="20"/>
          <w:szCs w:val="20"/>
        </w:rPr>
        <w:t>ital and small letters (Table 7</w:t>
      </w:r>
      <w:r w:rsidRPr="00EC3B28">
        <w:rPr>
          <w:rFonts w:eastAsiaTheme="minorEastAsia"/>
          <w:sz w:val="20"/>
          <w:szCs w:val="20"/>
        </w:rPr>
        <w:t>). Eight determinations have to be made, which will use a combination of the nominal or alternative values for the chosen factors A-G. An example of possible results of the determinations is shown in the bottom r</w:t>
      </w:r>
      <w:r w:rsidR="004E5BE9">
        <w:rPr>
          <w:rFonts w:eastAsiaTheme="minorEastAsia"/>
          <w:sz w:val="20"/>
          <w:szCs w:val="20"/>
        </w:rPr>
        <w:t>ow of Table 7</w:t>
      </w:r>
      <w:r w:rsidRPr="00EC3B28">
        <w:rPr>
          <w:rFonts w:eastAsiaTheme="minorEastAsia"/>
          <w:sz w:val="20"/>
          <w:szCs w:val="20"/>
        </w:rPr>
        <w:t xml:space="preserve"> values S-Z. These results are used for calculating the ruggedness of the method according to the calculations described by Youden</w:t>
      </w:r>
      <w:r w:rsidR="00E754CB" w:rsidRPr="00E754CB">
        <w:rPr>
          <w:rFonts w:eastAsiaTheme="minorEastAsia"/>
          <w:sz w:val="20"/>
          <w:szCs w:val="20"/>
          <w:vertAlign w:val="superscript"/>
        </w:rPr>
        <w:t>10</w:t>
      </w:r>
      <w:r w:rsidR="00E754CB">
        <w:rPr>
          <w:rFonts w:eastAsiaTheme="minorEastAsia"/>
          <w:sz w:val="20"/>
          <w:szCs w:val="20"/>
        </w:rPr>
        <w:t>.</w:t>
      </w:r>
    </w:p>
    <w:p w14:paraId="564CB12C" w14:textId="52A92300" w:rsidR="00A73D5E" w:rsidRDefault="00A73D5E" w:rsidP="00A73D5E">
      <w:pPr>
        <w:spacing w:after="0"/>
        <w:rPr>
          <w:rFonts w:eastAsiaTheme="minorEastAsia"/>
          <w:sz w:val="20"/>
          <w:szCs w:val="20"/>
        </w:rPr>
      </w:pPr>
    </w:p>
    <w:p w14:paraId="27CD76F6" w14:textId="17978439" w:rsidR="0072475C" w:rsidRPr="00EC3B28" w:rsidRDefault="00793651" w:rsidP="00A73D5E">
      <w:pPr>
        <w:spacing w:after="0"/>
        <w:rPr>
          <w:rFonts w:eastAsiaTheme="minorEastAsia"/>
          <w:sz w:val="20"/>
          <w:szCs w:val="20"/>
        </w:rPr>
      </w:pPr>
      <w:r w:rsidRPr="003169E4">
        <w:rPr>
          <w:rFonts w:eastAsiaTheme="minorEastAsia"/>
          <w:b/>
          <w:sz w:val="20"/>
          <w:szCs w:val="20"/>
        </w:rPr>
        <w:t xml:space="preserve">Table 7: </w:t>
      </w:r>
      <w:r w:rsidRPr="003169E4">
        <w:rPr>
          <w:rFonts w:eastAsiaTheme="minorEastAsia"/>
          <w:sz w:val="20"/>
          <w:szCs w:val="20"/>
        </w:rPr>
        <w:t>Experiment design for ruggedness studies (minor changes)</w:t>
      </w:r>
    </w:p>
    <w:tbl>
      <w:tblPr>
        <w:tblStyle w:val="TableGrid"/>
        <w:tblW w:w="0" w:type="auto"/>
        <w:tblLook w:val="04A0" w:firstRow="1" w:lastRow="0" w:firstColumn="1" w:lastColumn="0" w:noHBand="0" w:noVBand="1"/>
      </w:tblPr>
      <w:tblGrid>
        <w:gridCol w:w="1074"/>
        <w:gridCol w:w="1023"/>
        <w:gridCol w:w="1023"/>
        <w:gridCol w:w="1023"/>
        <w:gridCol w:w="1024"/>
        <w:gridCol w:w="1024"/>
        <w:gridCol w:w="1024"/>
        <w:gridCol w:w="1024"/>
        <w:gridCol w:w="1024"/>
      </w:tblGrid>
      <w:tr w:rsidR="0072475C" w14:paraId="2BC1E2FE" w14:textId="77777777" w:rsidTr="00670DCB">
        <w:tc>
          <w:tcPr>
            <w:tcW w:w="9263" w:type="dxa"/>
            <w:gridSpan w:val="9"/>
          </w:tcPr>
          <w:p w14:paraId="062A9C7C" w14:textId="635E9074" w:rsidR="0072475C" w:rsidRPr="003169E4" w:rsidRDefault="0072475C" w:rsidP="003169E4">
            <w:pPr>
              <w:jc w:val="center"/>
              <w:rPr>
                <w:b/>
                <w:sz w:val="20"/>
                <w:szCs w:val="20"/>
              </w:rPr>
            </w:pPr>
            <w:r w:rsidRPr="003169E4">
              <w:rPr>
                <w:b/>
                <w:sz w:val="20"/>
                <w:szCs w:val="20"/>
              </w:rPr>
              <w:t>Table 7: Experiment design for ruggedness studies (minor changes)</w:t>
            </w:r>
          </w:p>
        </w:tc>
      </w:tr>
      <w:tr w:rsidR="0072475C" w14:paraId="06B062C6" w14:textId="77777777" w:rsidTr="00670DCB">
        <w:tc>
          <w:tcPr>
            <w:tcW w:w="1074" w:type="dxa"/>
            <w:vMerge w:val="restart"/>
          </w:tcPr>
          <w:p w14:paraId="482DE89D" w14:textId="77777777" w:rsidR="0072475C" w:rsidRPr="003169E4" w:rsidRDefault="0072475C" w:rsidP="00670DCB">
            <w:pPr>
              <w:rPr>
                <w:sz w:val="20"/>
                <w:szCs w:val="20"/>
              </w:rPr>
            </w:pPr>
            <w:r w:rsidRPr="003169E4">
              <w:rPr>
                <w:sz w:val="20"/>
                <w:szCs w:val="20"/>
              </w:rPr>
              <w:t>Factor value F</w:t>
            </w:r>
          </w:p>
        </w:tc>
        <w:tc>
          <w:tcPr>
            <w:tcW w:w="8189" w:type="dxa"/>
            <w:gridSpan w:val="8"/>
          </w:tcPr>
          <w:p w14:paraId="2441ADAC" w14:textId="77777777" w:rsidR="0072475C" w:rsidRPr="003169E4" w:rsidRDefault="0072475C" w:rsidP="003169E4">
            <w:pPr>
              <w:jc w:val="center"/>
              <w:rPr>
                <w:sz w:val="20"/>
                <w:szCs w:val="20"/>
              </w:rPr>
            </w:pPr>
            <w:r w:rsidRPr="003169E4">
              <w:rPr>
                <w:sz w:val="20"/>
                <w:szCs w:val="20"/>
              </w:rPr>
              <w:t>Combination of determinations number</w:t>
            </w:r>
          </w:p>
        </w:tc>
      </w:tr>
      <w:tr w:rsidR="0072475C" w14:paraId="65173007" w14:textId="77777777" w:rsidTr="00670DCB">
        <w:tc>
          <w:tcPr>
            <w:tcW w:w="1074" w:type="dxa"/>
            <w:vMerge/>
          </w:tcPr>
          <w:p w14:paraId="37C9FDC1" w14:textId="77777777" w:rsidR="0072475C" w:rsidRPr="003169E4" w:rsidRDefault="0072475C" w:rsidP="00670DCB">
            <w:pPr>
              <w:rPr>
                <w:sz w:val="20"/>
                <w:szCs w:val="20"/>
              </w:rPr>
            </w:pPr>
          </w:p>
        </w:tc>
        <w:tc>
          <w:tcPr>
            <w:tcW w:w="1023" w:type="dxa"/>
          </w:tcPr>
          <w:p w14:paraId="5B1894F3" w14:textId="77777777" w:rsidR="0072475C" w:rsidRPr="003169E4" w:rsidRDefault="0072475C" w:rsidP="00670DCB">
            <w:pPr>
              <w:rPr>
                <w:sz w:val="20"/>
                <w:szCs w:val="20"/>
              </w:rPr>
            </w:pPr>
            <w:r w:rsidRPr="003169E4">
              <w:rPr>
                <w:sz w:val="20"/>
                <w:szCs w:val="20"/>
              </w:rPr>
              <w:t>1</w:t>
            </w:r>
          </w:p>
        </w:tc>
        <w:tc>
          <w:tcPr>
            <w:tcW w:w="1023" w:type="dxa"/>
          </w:tcPr>
          <w:p w14:paraId="59172530" w14:textId="77777777" w:rsidR="0072475C" w:rsidRPr="003169E4" w:rsidRDefault="0072475C" w:rsidP="00670DCB">
            <w:pPr>
              <w:rPr>
                <w:sz w:val="20"/>
                <w:szCs w:val="20"/>
              </w:rPr>
            </w:pPr>
            <w:r w:rsidRPr="003169E4">
              <w:rPr>
                <w:sz w:val="20"/>
                <w:szCs w:val="20"/>
              </w:rPr>
              <w:t>2</w:t>
            </w:r>
          </w:p>
        </w:tc>
        <w:tc>
          <w:tcPr>
            <w:tcW w:w="1023" w:type="dxa"/>
          </w:tcPr>
          <w:p w14:paraId="67FA8664" w14:textId="77777777" w:rsidR="0072475C" w:rsidRPr="003169E4" w:rsidRDefault="0072475C" w:rsidP="00670DCB">
            <w:pPr>
              <w:rPr>
                <w:sz w:val="20"/>
                <w:szCs w:val="20"/>
              </w:rPr>
            </w:pPr>
            <w:r w:rsidRPr="003169E4">
              <w:rPr>
                <w:sz w:val="20"/>
                <w:szCs w:val="20"/>
              </w:rPr>
              <w:t>3</w:t>
            </w:r>
          </w:p>
        </w:tc>
        <w:tc>
          <w:tcPr>
            <w:tcW w:w="1024" w:type="dxa"/>
          </w:tcPr>
          <w:p w14:paraId="11029002" w14:textId="77777777" w:rsidR="0072475C" w:rsidRPr="003169E4" w:rsidRDefault="0072475C" w:rsidP="00670DCB">
            <w:pPr>
              <w:rPr>
                <w:sz w:val="20"/>
                <w:szCs w:val="20"/>
              </w:rPr>
            </w:pPr>
            <w:r w:rsidRPr="003169E4">
              <w:rPr>
                <w:sz w:val="20"/>
                <w:szCs w:val="20"/>
              </w:rPr>
              <w:t>4</w:t>
            </w:r>
          </w:p>
        </w:tc>
        <w:tc>
          <w:tcPr>
            <w:tcW w:w="1024" w:type="dxa"/>
          </w:tcPr>
          <w:p w14:paraId="2A5B62DC" w14:textId="77777777" w:rsidR="0072475C" w:rsidRPr="003169E4" w:rsidRDefault="0072475C" w:rsidP="00670DCB">
            <w:pPr>
              <w:rPr>
                <w:sz w:val="20"/>
                <w:szCs w:val="20"/>
              </w:rPr>
            </w:pPr>
            <w:r w:rsidRPr="003169E4">
              <w:rPr>
                <w:sz w:val="20"/>
                <w:szCs w:val="20"/>
              </w:rPr>
              <w:t>5</w:t>
            </w:r>
          </w:p>
        </w:tc>
        <w:tc>
          <w:tcPr>
            <w:tcW w:w="1024" w:type="dxa"/>
          </w:tcPr>
          <w:p w14:paraId="0EEC6C5D" w14:textId="77777777" w:rsidR="0072475C" w:rsidRPr="003169E4" w:rsidRDefault="0072475C" w:rsidP="00670DCB">
            <w:pPr>
              <w:rPr>
                <w:sz w:val="20"/>
                <w:szCs w:val="20"/>
              </w:rPr>
            </w:pPr>
            <w:r w:rsidRPr="003169E4">
              <w:rPr>
                <w:sz w:val="20"/>
                <w:szCs w:val="20"/>
              </w:rPr>
              <w:t>6</w:t>
            </w:r>
          </w:p>
        </w:tc>
        <w:tc>
          <w:tcPr>
            <w:tcW w:w="1024" w:type="dxa"/>
          </w:tcPr>
          <w:p w14:paraId="1F05E87B" w14:textId="77777777" w:rsidR="0072475C" w:rsidRPr="003169E4" w:rsidRDefault="0072475C" w:rsidP="00670DCB">
            <w:pPr>
              <w:rPr>
                <w:sz w:val="20"/>
                <w:szCs w:val="20"/>
              </w:rPr>
            </w:pPr>
            <w:r w:rsidRPr="003169E4">
              <w:rPr>
                <w:sz w:val="20"/>
                <w:szCs w:val="20"/>
              </w:rPr>
              <w:t>7</w:t>
            </w:r>
          </w:p>
        </w:tc>
        <w:tc>
          <w:tcPr>
            <w:tcW w:w="1024" w:type="dxa"/>
          </w:tcPr>
          <w:p w14:paraId="40B46F1B" w14:textId="77777777" w:rsidR="0072475C" w:rsidRPr="003169E4" w:rsidRDefault="0072475C" w:rsidP="00670DCB">
            <w:pPr>
              <w:rPr>
                <w:sz w:val="20"/>
                <w:szCs w:val="20"/>
              </w:rPr>
            </w:pPr>
            <w:r w:rsidRPr="003169E4">
              <w:rPr>
                <w:sz w:val="20"/>
                <w:szCs w:val="20"/>
              </w:rPr>
              <w:t>8</w:t>
            </w:r>
          </w:p>
        </w:tc>
      </w:tr>
      <w:tr w:rsidR="0072475C" w14:paraId="150F02F9" w14:textId="77777777" w:rsidTr="00670DCB">
        <w:tc>
          <w:tcPr>
            <w:tcW w:w="1074" w:type="dxa"/>
          </w:tcPr>
          <w:p w14:paraId="459A78D9" w14:textId="77777777" w:rsidR="0072475C" w:rsidRPr="003169E4" w:rsidRDefault="0072475C" w:rsidP="00670DCB">
            <w:pPr>
              <w:rPr>
                <w:sz w:val="20"/>
                <w:szCs w:val="20"/>
              </w:rPr>
            </w:pPr>
            <w:r w:rsidRPr="003169E4">
              <w:rPr>
                <w:sz w:val="20"/>
                <w:szCs w:val="20"/>
              </w:rPr>
              <w:t>A/a</w:t>
            </w:r>
          </w:p>
        </w:tc>
        <w:tc>
          <w:tcPr>
            <w:tcW w:w="1023" w:type="dxa"/>
          </w:tcPr>
          <w:p w14:paraId="521B03C8" w14:textId="77777777" w:rsidR="0072475C" w:rsidRPr="003169E4" w:rsidRDefault="0072475C" w:rsidP="00670DCB">
            <w:pPr>
              <w:rPr>
                <w:sz w:val="20"/>
                <w:szCs w:val="20"/>
              </w:rPr>
            </w:pPr>
            <w:r w:rsidRPr="003169E4">
              <w:rPr>
                <w:sz w:val="20"/>
                <w:szCs w:val="20"/>
              </w:rPr>
              <w:t>A</w:t>
            </w:r>
          </w:p>
        </w:tc>
        <w:tc>
          <w:tcPr>
            <w:tcW w:w="1023" w:type="dxa"/>
          </w:tcPr>
          <w:p w14:paraId="716CFF86" w14:textId="77777777" w:rsidR="0072475C" w:rsidRPr="003169E4" w:rsidRDefault="0072475C" w:rsidP="00670DCB">
            <w:pPr>
              <w:rPr>
                <w:sz w:val="20"/>
                <w:szCs w:val="20"/>
              </w:rPr>
            </w:pPr>
            <w:r w:rsidRPr="003169E4">
              <w:rPr>
                <w:sz w:val="20"/>
                <w:szCs w:val="20"/>
              </w:rPr>
              <w:t>A</w:t>
            </w:r>
          </w:p>
        </w:tc>
        <w:tc>
          <w:tcPr>
            <w:tcW w:w="1023" w:type="dxa"/>
          </w:tcPr>
          <w:p w14:paraId="7D9398C9" w14:textId="77777777" w:rsidR="0072475C" w:rsidRPr="003169E4" w:rsidRDefault="0072475C" w:rsidP="00670DCB">
            <w:pPr>
              <w:rPr>
                <w:sz w:val="20"/>
                <w:szCs w:val="20"/>
              </w:rPr>
            </w:pPr>
            <w:r w:rsidRPr="003169E4">
              <w:rPr>
                <w:sz w:val="20"/>
                <w:szCs w:val="20"/>
              </w:rPr>
              <w:t>A</w:t>
            </w:r>
          </w:p>
        </w:tc>
        <w:tc>
          <w:tcPr>
            <w:tcW w:w="1024" w:type="dxa"/>
          </w:tcPr>
          <w:p w14:paraId="22594072" w14:textId="77777777" w:rsidR="0072475C" w:rsidRPr="003169E4" w:rsidRDefault="0072475C" w:rsidP="00670DCB">
            <w:pPr>
              <w:rPr>
                <w:sz w:val="20"/>
                <w:szCs w:val="20"/>
              </w:rPr>
            </w:pPr>
            <w:r w:rsidRPr="003169E4">
              <w:rPr>
                <w:sz w:val="20"/>
                <w:szCs w:val="20"/>
              </w:rPr>
              <w:t>A</w:t>
            </w:r>
          </w:p>
        </w:tc>
        <w:tc>
          <w:tcPr>
            <w:tcW w:w="1024" w:type="dxa"/>
          </w:tcPr>
          <w:p w14:paraId="550A1EC5" w14:textId="77777777" w:rsidR="0072475C" w:rsidRPr="003169E4" w:rsidRDefault="0072475C" w:rsidP="00670DCB">
            <w:pPr>
              <w:rPr>
                <w:sz w:val="20"/>
                <w:szCs w:val="20"/>
              </w:rPr>
            </w:pPr>
            <w:r w:rsidRPr="003169E4">
              <w:rPr>
                <w:sz w:val="20"/>
                <w:szCs w:val="20"/>
              </w:rPr>
              <w:t>a</w:t>
            </w:r>
          </w:p>
        </w:tc>
        <w:tc>
          <w:tcPr>
            <w:tcW w:w="1024" w:type="dxa"/>
          </w:tcPr>
          <w:p w14:paraId="004B3EBE" w14:textId="77777777" w:rsidR="0072475C" w:rsidRPr="003169E4" w:rsidRDefault="0072475C" w:rsidP="00670DCB">
            <w:pPr>
              <w:rPr>
                <w:sz w:val="20"/>
                <w:szCs w:val="20"/>
              </w:rPr>
            </w:pPr>
            <w:r w:rsidRPr="003169E4">
              <w:rPr>
                <w:sz w:val="20"/>
                <w:szCs w:val="20"/>
              </w:rPr>
              <w:t>a</w:t>
            </w:r>
          </w:p>
        </w:tc>
        <w:tc>
          <w:tcPr>
            <w:tcW w:w="1024" w:type="dxa"/>
          </w:tcPr>
          <w:p w14:paraId="61B2A3F6" w14:textId="77777777" w:rsidR="0072475C" w:rsidRPr="003169E4" w:rsidRDefault="0072475C" w:rsidP="00670DCB">
            <w:pPr>
              <w:rPr>
                <w:sz w:val="20"/>
                <w:szCs w:val="20"/>
              </w:rPr>
            </w:pPr>
            <w:r w:rsidRPr="003169E4">
              <w:rPr>
                <w:sz w:val="20"/>
                <w:szCs w:val="20"/>
              </w:rPr>
              <w:t>a</w:t>
            </w:r>
          </w:p>
        </w:tc>
        <w:tc>
          <w:tcPr>
            <w:tcW w:w="1024" w:type="dxa"/>
          </w:tcPr>
          <w:p w14:paraId="1D490344" w14:textId="77777777" w:rsidR="0072475C" w:rsidRPr="003169E4" w:rsidRDefault="0072475C" w:rsidP="00670DCB">
            <w:pPr>
              <w:rPr>
                <w:sz w:val="20"/>
                <w:szCs w:val="20"/>
              </w:rPr>
            </w:pPr>
            <w:r w:rsidRPr="003169E4">
              <w:rPr>
                <w:sz w:val="20"/>
                <w:szCs w:val="20"/>
              </w:rPr>
              <w:t>a</w:t>
            </w:r>
          </w:p>
        </w:tc>
      </w:tr>
      <w:tr w:rsidR="0072475C" w14:paraId="7570D043" w14:textId="77777777" w:rsidTr="00670DCB">
        <w:tc>
          <w:tcPr>
            <w:tcW w:w="1074" w:type="dxa"/>
          </w:tcPr>
          <w:p w14:paraId="7BF1D7EE" w14:textId="77777777" w:rsidR="0072475C" w:rsidRPr="003169E4" w:rsidRDefault="0072475C" w:rsidP="00670DCB">
            <w:pPr>
              <w:rPr>
                <w:sz w:val="20"/>
                <w:szCs w:val="20"/>
              </w:rPr>
            </w:pPr>
            <w:r w:rsidRPr="003169E4">
              <w:rPr>
                <w:sz w:val="20"/>
                <w:szCs w:val="20"/>
              </w:rPr>
              <w:t>B/b</w:t>
            </w:r>
          </w:p>
        </w:tc>
        <w:tc>
          <w:tcPr>
            <w:tcW w:w="1023" w:type="dxa"/>
          </w:tcPr>
          <w:p w14:paraId="07F5BEA0" w14:textId="77777777" w:rsidR="0072475C" w:rsidRPr="003169E4" w:rsidRDefault="0072475C" w:rsidP="00670DCB">
            <w:pPr>
              <w:rPr>
                <w:sz w:val="20"/>
                <w:szCs w:val="20"/>
              </w:rPr>
            </w:pPr>
            <w:r w:rsidRPr="003169E4">
              <w:rPr>
                <w:sz w:val="20"/>
                <w:szCs w:val="20"/>
              </w:rPr>
              <w:t>B</w:t>
            </w:r>
          </w:p>
        </w:tc>
        <w:tc>
          <w:tcPr>
            <w:tcW w:w="1023" w:type="dxa"/>
          </w:tcPr>
          <w:p w14:paraId="799EA8A8" w14:textId="77777777" w:rsidR="0072475C" w:rsidRPr="003169E4" w:rsidRDefault="0072475C" w:rsidP="00670DCB">
            <w:pPr>
              <w:rPr>
                <w:sz w:val="20"/>
                <w:szCs w:val="20"/>
              </w:rPr>
            </w:pPr>
            <w:r w:rsidRPr="003169E4">
              <w:rPr>
                <w:sz w:val="20"/>
                <w:szCs w:val="20"/>
              </w:rPr>
              <w:t>B</w:t>
            </w:r>
          </w:p>
        </w:tc>
        <w:tc>
          <w:tcPr>
            <w:tcW w:w="1023" w:type="dxa"/>
          </w:tcPr>
          <w:p w14:paraId="56B93F7F" w14:textId="77777777" w:rsidR="0072475C" w:rsidRPr="003169E4" w:rsidRDefault="0072475C" w:rsidP="00670DCB">
            <w:pPr>
              <w:rPr>
                <w:sz w:val="20"/>
                <w:szCs w:val="20"/>
              </w:rPr>
            </w:pPr>
            <w:r w:rsidRPr="003169E4">
              <w:rPr>
                <w:sz w:val="20"/>
                <w:szCs w:val="20"/>
              </w:rPr>
              <w:t>b</w:t>
            </w:r>
          </w:p>
        </w:tc>
        <w:tc>
          <w:tcPr>
            <w:tcW w:w="1024" w:type="dxa"/>
          </w:tcPr>
          <w:p w14:paraId="1BC5DEC1" w14:textId="77777777" w:rsidR="0072475C" w:rsidRPr="003169E4" w:rsidRDefault="0072475C" w:rsidP="00670DCB">
            <w:pPr>
              <w:rPr>
                <w:sz w:val="20"/>
                <w:szCs w:val="20"/>
              </w:rPr>
            </w:pPr>
            <w:r w:rsidRPr="003169E4">
              <w:rPr>
                <w:sz w:val="20"/>
                <w:szCs w:val="20"/>
              </w:rPr>
              <w:t>b</w:t>
            </w:r>
          </w:p>
        </w:tc>
        <w:tc>
          <w:tcPr>
            <w:tcW w:w="1024" w:type="dxa"/>
          </w:tcPr>
          <w:p w14:paraId="10FF5002" w14:textId="77777777" w:rsidR="0072475C" w:rsidRPr="003169E4" w:rsidRDefault="0072475C" w:rsidP="00670DCB">
            <w:pPr>
              <w:rPr>
                <w:sz w:val="20"/>
                <w:szCs w:val="20"/>
              </w:rPr>
            </w:pPr>
            <w:r w:rsidRPr="003169E4">
              <w:rPr>
                <w:sz w:val="20"/>
                <w:szCs w:val="20"/>
              </w:rPr>
              <w:t>B</w:t>
            </w:r>
          </w:p>
        </w:tc>
        <w:tc>
          <w:tcPr>
            <w:tcW w:w="1024" w:type="dxa"/>
          </w:tcPr>
          <w:p w14:paraId="2DAD118D" w14:textId="77777777" w:rsidR="0072475C" w:rsidRPr="003169E4" w:rsidRDefault="0072475C" w:rsidP="00670DCB">
            <w:pPr>
              <w:rPr>
                <w:sz w:val="20"/>
                <w:szCs w:val="20"/>
              </w:rPr>
            </w:pPr>
            <w:r w:rsidRPr="003169E4">
              <w:rPr>
                <w:sz w:val="20"/>
                <w:szCs w:val="20"/>
              </w:rPr>
              <w:t>B</w:t>
            </w:r>
          </w:p>
        </w:tc>
        <w:tc>
          <w:tcPr>
            <w:tcW w:w="1024" w:type="dxa"/>
          </w:tcPr>
          <w:p w14:paraId="63872A3C" w14:textId="77777777" w:rsidR="0072475C" w:rsidRPr="003169E4" w:rsidRDefault="0072475C" w:rsidP="00670DCB">
            <w:pPr>
              <w:rPr>
                <w:sz w:val="20"/>
                <w:szCs w:val="20"/>
              </w:rPr>
            </w:pPr>
            <w:r w:rsidRPr="003169E4">
              <w:rPr>
                <w:sz w:val="20"/>
                <w:szCs w:val="20"/>
              </w:rPr>
              <w:t>b</w:t>
            </w:r>
          </w:p>
        </w:tc>
        <w:tc>
          <w:tcPr>
            <w:tcW w:w="1024" w:type="dxa"/>
          </w:tcPr>
          <w:p w14:paraId="536C1BBC" w14:textId="77777777" w:rsidR="0072475C" w:rsidRPr="003169E4" w:rsidRDefault="0072475C" w:rsidP="00670DCB">
            <w:pPr>
              <w:rPr>
                <w:sz w:val="20"/>
                <w:szCs w:val="20"/>
              </w:rPr>
            </w:pPr>
            <w:r w:rsidRPr="003169E4">
              <w:rPr>
                <w:sz w:val="20"/>
                <w:szCs w:val="20"/>
              </w:rPr>
              <w:t>B</w:t>
            </w:r>
          </w:p>
        </w:tc>
      </w:tr>
      <w:tr w:rsidR="0072475C" w14:paraId="58563B97" w14:textId="77777777" w:rsidTr="00670DCB">
        <w:tc>
          <w:tcPr>
            <w:tcW w:w="1074" w:type="dxa"/>
          </w:tcPr>
          <w:p w14:paraId="03F299CC" w14:textId="77777777" w:rsidR="0072475C" w:rsidRPr="003169E4" w:rsidRDefault="0072475C" w:rsidP="00670DCB">
            <w:pPr>
              <w:rPr>
                <w:sz w:val="20"/>
                <w:szCs w:val="20"/>
              </w:rPr>
            </w:pPr>
            <w:r w:rsidRPr="003169E4">
              <w:rPr>
                <w:sz w:val="20"/>
                <w:szCs w:val="20"/>
              </w:rPr>
              <w:t>C/c</w:t>
            </w:r>
          </w:p>
        </w:tc>
        <w:tc>
          <w:tcPr>
            <w:tcW w:w="1023" w:type="dxa"/>
          </w:tcPr>
          <w:p w14:paraId="0D02D98A" w14:textId="77777777" w:rsidR="0072475C" w:rsidRPr="003169E4" w:rsidRDefault="0072475C" w:rsidP="00670DCB">
            <w:pPr>
              <w:rPr>
                <w:sz w:val="20"/>
                <w:szCs w:val="20"/>
              </w:rPr>
            </w:pPr>
            <w:r w:rsidRPr="003169E4">
              <w:rPr>
                <w:sz w:val="20"/>
                <w:szCs w:val="20"/>
              </w:rPr>
              <w:t>C</w:t>
            </w:r>
          </w:p>
        </w:tc>
        <w:tc>
          <w:tcPr>
            <w:tcW w:w="1023" w:type="dxa"/>
          </w:tcPr>
          <w:p w14:paraId="41603FFA" w14:textId="77777777" w:rsidR="0072475C" w:rsidRPr="003169E4" w:rsidRDefault="0072475C" w:rsidP="00670DCB">
            <w:pPr>
              <w:rPr>
                <w:sz w:val="20"/>
                <w:szCs w:val="20"/>
              </w:rPr>
            </w:pPr>
            <w:r w:rsidRPr="003169E4">
              <w:rPr>
                <w:sz w:val="20"/>
                <w:szCs w:val="20"/>
              </w:rPr>
              <w:t>c</w:t>
            </w:r>
          </w:p>
        </w:tc>
        <w:tc>
          <w:tcPr>
            <w:tcW w:w="1023" w:type="dxa"/>
          </w:tcPr>
          <w:p w14:paraId="2483202E" w14:textId="77777777" w:rsidR="0072475C" w:rsidRPr="003169E4" w:rsidRDefault="0072475C" w:rsidP="00670DCB">
            <w:pPr>
              <w:rPr>
                <w:sz w:val="20"/>
                <w:szCs w:val="20"/>
              </w:rPr>
            </w:pPr>
            <w:r w:rsidRPr="003169E4">
              <w:rPr>
                <w:sz w:val="20"/>
                <w:szCs w:val="20"/>
              </w:rPr>
              <w:t>C</w:t>
            </w:r>
          </w:p>
        </w:tc>
        <w:tc>
          <w:tcPr>
            <w:tcW w:w="1024" w:type="dxa"/>
          </w:tcPr>
          <w:p w14:paraId="55764DB1" w14:textId="77777777" w:rsidR="0072475C" w:rsidRPr="003169E4" w:rsidRDefault="0072475C" w:rsidP="00670DCB">
            <w:pPr>
              <w:rPr>
                <w:sz w:val="20"/>
                <w:szCs w:val="20"/>
              </w:rPr>
            </w:pPr>
            <w:r w:rsidRPr="003169E4">
              <w:rPr>
                <w:sz w:val="20"/>
                <w:szCs w:val="20"/>
              </w:rPr>
              <w:t>c</w:t>
            </w:r>
          </w:p>
        </w:tc>
        <w:tc>
          <w:tcPr>
            <w:tcW w:w="1024" w:type="dxa"/>
          </w:tcPr>
          <w:p w14:paraId="368F55FE" w14:textId="77777777" w:rsidR="0072475C" w:rsidRPr="003169E4" w:rsidRDefault="0072475C" w:rsidP="00670DCB">
            <w:pPr>
              <w:rPr>
                <w:sz w:val="20"/>
                <w:szCs w:val="20"/>
              </w:rPr>
            </w:pPr>
            <w:r w:rsidRPr="003169E4">
              <w:rPr>
                <w:sz w:val="20"/>
                <w:szCs w:val="20"/>
              </w:rPr>
              <w:t>C</w:t>
            </w:r>
          </w:p>
        </w:tc>
        <w:tc>
          <w:tcPr>
            <w:tcW w:w="1024" w:type="dxa"/>
          </w:tcPr>
          <w:p w14:paraId="33E2D12F" w14:textId="77777777" w:rsidR="0072475C" w:rsidRPr="003169E4" w:rsidRDefault="0072475C" w:rsidP="00670DCB">
            <w:pPr>
              <w:rPr>
                <w:sz w:val="20"/>
                <w:szCs w:val="20"/>
              </w:rPr>
            </w:pPr>
            <w:r w:rsidRPr="003169E4">
              <w:rPr>
                <w:sz w:val="20"/>
                <w:szCs w:val="20"/>
              </w:rPr>
              <w:t>c</w:t>
            </w:r>
          </w:p>
        </w:tc>
        <w:tc>
          <w:tcPr>
            <w:tcW w:w="1024" w:type="dxa"/>
          </w:tcPr>
          <w:p w14:paraId="1F7FBEBC" w14:textId="77777777" w:rsidR="0072475C" w:rsidRPr="003169E4" w:rsidRDefault="0072475C" w:rsidP="00670DCB">
            <w:pPr>
              <w:rPr>
                <w:sz w:val="20"/>
                <w:szCs w:val="20"/>
              </w:rPr>
            </w:pPr>
            <w:r w:rsidRPr="003169E4">
              <w:rPr>
                <w:sz w:val="20"/>
                <w:szCs w:val="20"/>
              </w:rPr>
              <w:t>C</w:t>
            </w:r>
          </w:p>
        </w:tc>
        <w:tc>
          <w:tcPr>
            <w:tcW w:w="1024" w:type="dxa"/>
          </w:tcPr>
          <w:p w14:paraId="02C4F0CB" w14:textId="77777777" w:rsidR="0072475C" w:rsidRPr="003169E4" w:rsidRDefault="0072475C" w:rsidP="00670DCB">
            <w:pPr>
              <w:rPr>
                <w:sz w:val="20"/>
                <w:szCs w:val="20"/>
              </w:rPr>
            </w:pPr>
            <w:r w:rsidRPr="003169E4">
              <w:rPr>
                <w:sz w:val="20"/>
                <w:szCs w:val="20"/>
              </w:rPr>
              <w:t>c</w:t>
            </w:r>
          </w:p>
        </w:tc>
      </w:tr>
      <w:tr w:rsidR="0072475C" w14:paraId="7D0EBA75" w14:textId="77777777" w:rsidTr="00670DCB">
        <w:tc>
          <w:tcPr>
            <w:tcW w:w="1074" w:type="dxa"/>
          </w:tcPr>
          <w:p w14:paraId="7F38F143" w14:textId="77777777" w:rsidR="0072475C" w:rsidRPr="003169E4" w:rsidRDefault="0072475C" w:rsidP="00670DCB">
            <w:pPr>
              <w:rPr>
                <w:sz w:val="20"/>
                <w:szCs w:val="20"/>
              </w:rPr>
            </w:pPr>
            <w:r w:rsidRPr="003169E4">
              <w:rPr>
                <w:sz w:val="20"/>
                <w:szCs w:val="20"/>
              </w:rPr>
              <w:t>D/d</w:t>
            </w:r>
          </w:p>
        </w:tc>
        <w:tc>
          <w:tcPr>
            <w:tcW w:w="1023" w:type="dxa"/>
          </w:tcPr>
          <w:p w14:paraId="468C8D47" w14:textId="77777777" w:rsidR="0072475C" w:rsidRPr="003169E4" w:rsidRDefault="0072475C" w:rsidP="00670DCB">
            <w:pPr>
              <w:rPr>
                <w:sz w:val="20"/>
                <w:szCs w:val="20"/>
              </w:rPr>
            </w:pPr>
            <w:r w:rsidRPr="003169E4">
              <w:rPr>
                <w:sz w:val="20"/>
                <w:szCs w:val="20"/>
              </w:rPr>
              <w:t>D</w:t>
            </w:r>
          </w:p>
        </w:tc>
        <w:tc>
          <w:tcPr>
            <w:tcW w:w="1023" w:type="dxa"/>
          </w:tcPr>
          <w:p w14:paraId="1914B30A" w14:textId="77777777" w:rsidR="0072475C" w:rsidRPr="003169E4" w:rsidRDefault="0072475C" w:rsidP="00670DCB">
            <w:pPr>
              <w:rPr>
                <w:sz w:val="20"/>
                <w:szCs w:val="20"/>
              </w:rPr>
            </w:pPr>
            <w:r w:rsidRPr="003169E4">
              <w:rPr>
                <w:sz w:val="20"/>
                <w:szCs w:val="20"/>
              </w:rPr>
              <w:t>D</w:t>
            </w:r>
          </w:p>
        </w:tc>
        <w:tc>
          <w:tcPr>
            <w:tcW w:w="1023" w:type="dxa"/>
          </w:tcPr>
          <w:p w14:paraId="4A253CBB" w14:textId="77777777" w:rsidR="0072475C" w:rsidRPr="003169E4" w:rsidRDefault="0072475C" w:rsidP="00670DCB">
            <w:pPr>
              <w:rPr>
                <w:sz w:val="20"/>
                <w:szCs w:val="20"/>
              </w:rPr>
            </w:pPr>
            <w:r w:rsidRPr="003169E4">
              <w:rPr>
                <w:sz w:val="20"/>
                <w:szCs w:val="20"/>
              </w:rPr>
              <w:t>d</w:t>
            </w:r>
          </w:p>
        </w:tc>
        <w:tc>
          <w:tcPr>
            <w:tcW w:w="1024" w:type="dxa"/>
          </w:tcPr>
          <w:p w14:paraId="1197B152" w14:textId="77777777" w:rsidR="0072475C" w:rsidRPr="003169E4" w:rsidRDefault="0072475C" w:rsidP="00670DCB">
            <w:pPr>
              <w:rPr>
                <w:sz w:val="20"/>
                <w:szCs w:val="20"/>
              </w:rPr>
            </w:pPr>
            <w:r w:rsidRPr="003169E4">
              <w:rPr>
                <w:sz w:val="20"/>
                <w:szCs w:val="20"/>
              </w:rPr>
              <w:t>d</w:t>
            </w:r>
          </w:p>
        </w:tc>
        <w:tc>
          <w:tcPr>
            <w:tcW w:w="1024" w:type="dxa"/>
          </w:tcPr>
          <w:p w14:paraId="037A5309" w14:textId="77777777" w:rsidR="0072475C" w:rsidRPr="003169E4" w:rsidRDefault="0072475C" w:rsidP="00670DCB">
            <w:pPr>
              <w:rPr>
                <w:sz w:val="20"/>
                <w:szCs w:val="20"/>
              </w:rPr>
            </w:pPr>
            <w:r w:rsidRPr="003169E4">
              <w:rPr>
                <w:sz w:val="20"/>
                <w:szCs w:val="20"/>
              </w:rPr>
              <w:t>d</w:t>
            </w:r>
          </w:p>
        </w:tc>
        <w:tc>
          <w:tcPr>
            <w:tcW w:w="1024" w:type="dxa"/>
          </w:tcPr>
          <w:p w14:paraId="06D0353F" w14:textId="77777777" w:rsidR="0072475C" w:rsidRPr="003169E4" w:rsidRDefault="0072475C" w:rsidP="00670DCB">
            <w:pPr>
              <w:rPr>
                <w:sz w:val="20"/>
                <w:szCs w:val="20"/>
              </w:rPr>
            </w:pPr>
            <w:r w:rsidRPr="003169E4">
              <w:rPr>
                <w:sz w:val="20"/>
                <w:szCs w:val="20"/>
              </w:rPr>
              <w:t>d</w:t>
            </w:r>
          </w:p>
        </w:tc>
        <w:tc>
          <w:tcPr>
            <w:tcW w:w="1024" w:type="dxa"/>
          </w:tcPr>
          <w:p w14:paraId="7C977578" w14:textId="77777777" w:rsidR="0072475C" w:rsidRPr="003169E4" w:rsidRDefault="0072475C" w:rsidP="00670DCB">
            <w:pPr>
              <w:rPr>
                <w:sz w:val="20"/>
                <w:szCs w:val="20"/>
              </w:rPr>
            </w:pPr>
            <w:r w:rsidRPr="003169E4">
              <w:rPr>
                <w:sz w:val="20"/>
                <w:szCs w:val="20"/>
              </w:rPr>
              <w:t>D</w:t>
            </w:r>
          </w:p>
        </w:tc>
        <w:tc>
          <w:tcPr>
            <w:tcW w:w="1024" w:type="dxa"/>
          </w:tcPr>
          <w:p w14:paraId="598276A7" w14:textId="77777777" w:rsidR="0072475C" w:rsidRPr="003169E4" w:rsidRDefault="0072475C" w:rsidP="00670DCB">
            <w:pPr>
              <w:rPr>
                <w:sz w:val="20"/>
                <w:szCs w:val="20"/>
              </w:rPr>
            </w:pPr>
            <w:r w:rsidRPr="003169E4">
              <w:rPr>
                <w:sz w:val="20"/>
                <w:szCs w:val="20"/>
              </w:rPr>
              <w:t>D</w:t>
            </w:r>
          </w:p>
        </w:tc>
      </w:tr>
      <w:tr w:rsidR="0072475C" w14:paraId="496CE19B" w14:textId="77777777" w:rsidTr="00670DCB">
        <w:tc>
          <w:tcPr>
            <w:tcW w:w="1074" w:type="dxa"/>
          </w:tcPr>
          <w:p w14:paraId="391419E2" w14:textId="77777777" w:rsidR="0072475C" w:rsidRPr="003169E4" w:rsidRDefault="0072475C" w:rsidP="00670DCB">
            <w:pPr>
              <w:rPr>
                <w:sz w:val="20"/>
                <w:szCs w:val="20"/>
              </w:rPr>
            </w:pPr>
            <w:r w:rsidRPr="003169E4">
              <w:rPr>
                <w:sz w:val="20"/>
                <w:szCs w:val="20"/>
              </w:rPr>
              <w:t>E/e</w:t>
            </w:r>
          </w:p>
        </w:tc>
        <w:tc>
          <w:tcPr>
            <w:tcW w:w="1023" w:type="dxa"/>
          </w:tcPr>
          <w:p w14:paraId="5331C4D9" w14:textId="77777777" w:rsidR="0072475C" w:rsidRPr="003169E4" w:rsidRDefault="0072475C" w:rsidP="00670DCB">
            <w:pPr>
              <w:rPr>
                <w:sz w:val="20"/>
                <w:szCs w:val="20"/>
              </w:rPr>
            </w:pPr>
            <w:r w:rsidRPr="003169E4">
              <w:rPr>
                <w:sz w:val="20"/>
                <w:szCs w:val="20"/>
              </w:rPr>
              <w:t>E</w:t>
            </w:r>
          </w:p>
        </w:tc>
        <w:tc>
          <w:tcPr>
            <w:tcW w:w="1023" w:type="dxa"/>
          </w:tcPr>
          <w:p w14:paraId="37599931" w14:textId="77777777" w:rsidR="0072475C" w:rsidRPr="003169E4" w:rsidRDefault="0072475C" w:rsidP="00670DCB">
            <w:pPr>
              <w:rPr>
                <w:sz w:val="20"/>
                <w:szCs w:val="20"/>
              </w:rPr>
            </w:pPr>
            <w:r w:rsidRPr="003169E4">
              <w:rPr>
                <w:sz w:val="20"/>
                <w:szCs w:val="20"/>
              </w:rPr>
              <w:t>e</w:t>
            </w:r>
          </w:p>
        </w:tc>
        <w:tc>
          <w:tcPr>
            <w:tcW w:w="1023" w:type="dxa"/>
          </w:tcPr>
          <w:p w14:paraId="0356B6E9" w14:textId="77777777" w:rsidR="0072475C" w:rsidRPr="003169E4" w:rsidRDefault="0072475C" w:rsidP="00670DCB">
            <w:pPr>
              <w:rPr>
                <w:sz w:val="20"/>
                <w:szCs w:val="20"/>
              </w:rPr>
            </w:pPr>
            <w:r w:rsidRPr="003169E4">
              <w:rPr>
                <w:sz w:val="20"/>
                <w:szCs w:val="20"/>
              </w:rPr>
              <w:t>E</w:t>
            </w:r>
          </w:p>
        </w:tc>
        <w:tc>
          <w:tcPr>
            <w:tcW w:w="1024" w:type="dxa"/>
          </w:tcPr>
          <w:p w14:paraId="30B3AE69" w14:textId="77777777" w:rsidR="0072475C" w:rsidRPr="003169E4" w:rsidRDefault="0072475C" w:rsidP="00670DCB">
            <w:pPr>
              <w:rPr>
                <w:sz w:val="20"/>
                <w:szCs w:val="20"/>
              </w:rPr>
            </w:pPr>
            <w:r w:rsidRPr="003169E4">
              <w:rPr>
                <w:sz w:val="20"/>
                <w:szCs w:val="20"/>
              </w:rPr>
              <w:t>e</w:t>
            </w:r>
          </w:p>
        </w:tc>
        <w:tc>
          <w:tcPr>
            <w:tcW w:w="1024" w:type="dxa"/>
          </w:tcPr>
          <w:p w14:paraId="7836BA99" w14:textId="77777777" w:rsidR="0072475C" w:rsidRPr="003169E4" w:rsidRDefault="0072475C" w:rsidP="00670DCB">
            <w:pPr>
              <w:rPr>
                <w:sz w:val="20"/>
                <w:szCs w:val="20"/>
              </w:rPr>
            </w:pPr>
            <w:r w:rsidRPr="003169E4">
              <w:rPr>
                <w:sz w:val="20"/>
                <w:szCs w:val="20"/>
              </w:rPr>
              <w:t>e</w:t>
            </w:r>
          </w:p>
        </w:tc>
        <w:tc>
          <w:tcPr>
            <w:tcW w:w="1024" w:type="dxa"/>
          </w:tcPr>
          <w:p w14:paraId="66A17238" w14:textId="77777777" w:rsidR="0072475C" w:rsidRPr="003169E4" w:rsidRDefault="0072475C" w:rsidP="00670DCB">
            <w:pPr>
              <w:rPr>
                <w:sz w:val="20"/>
                <w:szCs w:val="20"/>
              </w:rPr>
            </w:pPr>
            <w:r w:rsidRPr="003169E4">
              <w:rPr>
                <w:sz w:val="20"/>
                <w:szCs w:val="20"/>
              </w:rPr>
              <w:t>E</w:t>
            </w:r>
          </w:p>
        </w:tc>
        <w:tc>
          <w:tcPr>
            <w:tcW w:w="1024" w:type="dxa"/>
          </w:tcPr>
          <w:p w14:paraId="5AA7CB3F" w14:textId="77777777" w:rsidR="0072475C" w:rsidRPr="003169E4" w:rsidRDefault="0072475C" w:rsidP="00670DCB">
            <w:pPr>
              <w:rPr>
                <w:sz w:val="20"/>
                <w:szCs w:val="20"/>
              </w:rPr>
            </w:pPr>
            <w:r w:rsidRPr="003169E4">
              <w:rPr>
                <w:sz w:val="20"/>
                <w:szCs w:val="20"/>
              </w:rPr>
              <w:t>e</w:t>
            </w:r>
          </w:p>
        </w:tc>
        <w:tc>
          <w:tcPr>
            <w:tcW w:w="1024" w:type="dxa"/>
          </w:tcPr>
          <w:p w14:paraId="722D2838" w14:textId="77777777" w:rsidR="0072475C" w:rsidRPr="003169E4" w:rsidRDefault="0072475C" w:rsidP="00670DCB">
            <w:pPr>
              <w:rPr>
                <w:sz w:val="20"/>
                <w:szCs w:val="20"/>
              </w:rPr>
            </w:pPr>
            <w:r w:rsidRPr="003169E4">
              <w:rPr>
                <w:sz w:val="20"/>
                <w:szCs w:val="20"/>
              </w:rPr>
              <w:t>E</w:t>
            </w:r>
          </w:p>
        </w:tc>
      </w:tr>
      <w:tr w:rsidR="0072475C" w14:paraId="3F58C3A6" w14:textId="77777777" w:rsidTr="00670DCB">
        <w:tc>
          <w:tcPr>
            <w:tcW w:w="1074" w:type="dxa"/>
          </w:tcPr>
          <w:p w14:paraId="7117DB7C" w14:textId="77777777" w:rsidR="0072475C" w:rsidRPr="003169E4" w:rsidRDefault="0072475C" w:rsidP="00670DCB">
            <w:pPr>
              <w:rPr>
                <w:sz w:val="20"/>
                <w:szCs w:val="20"/>
              </w:rPr>
            </w:pPr>
            <w:r w:rsidRPr="003169E4">
              <w:rPr>
                <w:sz w:val="20"/>
                <w:szCs w:val="20"/>
              </w:rPr>
              <w:t>F/f</w:t>
            </w:r>
          </w:p>
        </w:tc>
        <w:tc>
          <w:tcPr>
            <w:tcW w:w="1023" w:type="dxa"/>
          </w:tcPr>
          <w:p w14:paraId="3B4C1EA1" w14:textId="77777777" w:rsidR="0072475C" w:rsidRPr="003169E4" w:rsidRDefault="0072475C" w:rsidP="00670DCB">
            <w:pPr>
              <w:rPr>
                <w:sz w:val="20"/>
                <w:szCs w:val="20"/>
              </w:rPr>
            </w:pPr>
            <w:r w:rsidRPr="003169E4">
              <w:rPr>
                <w:sz w:val="20"/>
                <w:szCs w:val="20"/>
              </w:rPr>
              <w:t>F</w:t>
            </w:r>
          </w:p>
        </w:tc>
        <w:tc>
          <w:tcPr>
            <w:tcW w:w="1023" w:type="dxa"/>
          </w:tcPr>
          <w:p w14:paraId="723FE69E" w14:textId="77777777" w:rsidR="0072475C" w:rsidRPr="003169E4" w:rsidRDefault="0072475C" w:rsidP="00670DCB">
            <w:pPr>
              <w:rPr>
                <w:sz w:val="20"/>
                <w:szCs w:val="20"/>
              </w:rPr>
            </w:pPr>
            <w:r w:rsidRPr="003169E4">
              <w:rPr>
                <w:sz w:val="20"/>
                <w:szCs w:val="20"/>
              </w:rPr>
              <w:t>f</w:t>
            </w:r>
          </w:p>
        </w:tc>
        <w:tc>
          <w:tcPr>
            <w:tcW w:w="1023" w:type="dxa"/>
          </w:tcPr>
          <w:p w14:paraId="187F3D54" w14:textId="77777777" w:rsidR="0072475C" w:rsidRPr="003169E4" w:rsidRDefault="0072475C" w:rsidP="00670DCB">
            <w:pPr>
              <w:rPr>
                <w:sz w:val="20"/>
                <w:szCs w:val="20"/>
              </w:rPr>
            </w:pPr>
            <w:r w:rsidRPr="003169E4">
              <w:rPr>
                <w:sz w:val="20"/>
                <w:szCs w:val="20"/>
              </w:rPr>
              <w:t>f</w:t>
            </w:r>
          </w:p>
        </w:tc>
        <w:tc>
          <w:tcPr>
            <w:tcW w:w="1024" w:type="dxa"/>
          </w:tcPr>
          <w:p w14:paraId="646071CA" w14:textId="77777777" w:rsidR="0072475C" w:rsidRPr="003169E4" w:rsidRDefault="0072475C" w:rsidP="00670DCB">
            <w:pPr>
              <w:rPr>
                <w:sz w:val="20"/>
                <w:szCs w:val="20"/>
              </w:rPr>
            </w:pPr>
            <w:r w:rsidRPr="003169E4">
              <w:rPr>
                <w:sz w:val="20"/>
                <w:szCs w:val="20"/>
              </w:rPr>
              <w:t>F</w:t>
            </w:r>
          </w:p>
        </w:tc>
        <w:tc>
          <w:tcPr>
            <w:tcW w:w="1024" w:type="dxa"/>
          </w:tcPr>
          <w:p w14:paraId="62FA4E03" w14:textId="77777777" w:rsidR="0072475C" w:rsidRPr="003169E4" w:rsidRDefault="0072475C" w:rsidP="00670DCB">
            <w:pPr>
              <w:rPr>
                <w:sz w:val="20"/>
                <w:szCs w:val="20"/>
              </w:rPr>
            </w:pPr>
            <w:r w:rsidRPr="003169E4">
              <w:rPr>
                <w:sz w:val="20"/>
                <w:szCs w:val="20"/>
              </w:rPr>
              <w:t>F</w:t>
            </w:r>
          </w:p>
        </w:tc>
        <w:tc>
          <w:tcPr>
            <w:tcW w:w="1024" w:type="dxa"/>
          </w:tcPr>
          <w:p w14:paraId="378FBE0E" w14:textId="77777777" w:rsidR="0072475C" w:rsidRPr="003169E4" w:rsidRDefault="0072475C" w:rsidP="00670DCB">
            <w:pPr>
              <w:rPr>
                <w:sz w:val="20"/>
                <w:szCs w:val="20"/>
              </w:rPr>
            </w:pPr>
            <w:r w:rsidRPr="003169E4">
              <w:rPr>
                <w:sz w:val="20"/>
                <w:szCs w:val="20"/>
              </w:rPr>
              <w:t>f</w:t>
            </w:r>
          </w:p>
        </w:tc>
        <w:tc>
          <w:tcPr>
            <w:tcW w:w="1024" w:type="dxa"/>
          </w:tcPr>
          <w:p w14:paraId="207AE752" w14:textId="77777777" w:rsidR="0072475C" w:rsidRPr="003169E4" w:rsidRDefault="0072475C" w:rsidP="00670DCB">
            <w:pPr>
              <w:rPr>
                <w:sz w:val="20"/>
                <w:szCs w:val="20"/>
              </w:rPr>
            </w:pPr>
            <w:r w:rsidRPr="003169E4">
              <w:rPr>
                <w:sz w:val="20"/>
                <w:szCs w:val="20"/>
              </w:rPr>
              <w:t>f</w:t>
            </w:r>
          </w:p>
        </w:tc>
        <w:tc>
          <w:tcPr>
            <w:tcW w:w="1024" w:type="dxa"/>
          </w:tcPr>
          <w:p w14:paraId="2608EC2A" w14:textId="77777777" w:rsidR="0072475C" w:rsidRPr="003169E4" w:rsidRDefault="0072475C" w:rsidP="00670DCB">
            <w:pPr>
              <w:rPr>
                <w:sz w:val="20"/>
                <w:szCs w:val="20"/>
              </w:rPr>
            </w:pPr>
            <w:r w:rsidRPr="003169E4">
              <w:rPr>
                <w:sz w:val="20"/>
                <w:szCs w:val="20"/>
              </w:rPr>
              <w:t>F</w:t>
            </w:r>
          </w:p>
        </w:tc>
      </w:tr>
      <w:tr w:rsidR="0072475C" w14:paraId="05FA4725" w14:textId="77777777" w:rsidTr="00670DCB">
        <w:tc>
          <w:tcPr>
            <w:tcW w:w="1074" w:type="dxa"/>
          </w:tcPr>
          <w:p w14:paraId="4B56A094" w14:textId="77777777" w:rsidR="0072475C" w:rsidRPr="003169E4" w:rsidRDefault="0072475C" w:rsidP="00670DCB">
            <w:pPr>
              <w:rPr>
                <w:sz w:val="20"/>
                <w:szCs w:val="20"/>
              </w:rPr>
            </w:pPr>
            <w:r w:rsidRPr="003169E4">
              <w:rPr>
                <w:sz w:val="20"/>
                <w:szCs w:val="20"/>
              </w:rPr>
              <w:t>G/g</w:t>
            </w:r>
          </w:p>
        </w:tc>
        <w:tc>
          <w:tcPr>
            <w:tcW w:w="1023" w:type="dxa"/>
          </w:tcPr>
          <w:p w14:paraId="555B2F79" w14:textId="77777777" w:rsidR="0072475C" w:rsidRPr="003169E4" w:rsidRDefault="0072475C" w:rsidP="00670DCB">
            <w:pPr>
              <w:rPr>
                <w:sz w:val="20"/>
                <w:szCs w:val="20"/>
              </w:rPr>
            </w:pPr>
            <w:r w:rsidRPr="003169E4">
              <w:rPr>
                <w:sz w:val="20"/>
                <w:szCs w:val="20"/>
              </w:rPr>
              <w:t>G</w:t>
            </w:r>
          </w:p>
        </w:tc>
        <w:tc>
          <w:tcPr>
            <w:tcW w:w="1023" w:type="dxa"/>
          </w:tcPr>
          <w:p w14:paraId="26390967" w14:textId="77777777" w:rsidR="0072475C" w:rsidRPr="003169E4" w:rsidRDefault="0072475C" w:rsidP="00670DCB">
            <w:pPr>
              <w:rPr>
                <w:sz w:val="20"/>
                <w:szCs w:val="20"/>
              </w:rPr>
            </w:pPr>
            <w:r w:rsidRPr="003169E4">
              <w:rPr>
                <w:sz w:val="20"/>
                <w:szCs w:val="20"/>
              </w:rPr>
              <w:t>g</w:t>
            </w:r>
          </w:p>
        </w:tc>
        <w:tc>
          <w:tcPr>
            <w:tcW w:w="1023" w:type="dxa"/>
          </w:tcPr>
          <w:p w14:paraId="752A8317" w14:textId="77777777" w:rsidR="0072475C" w:rsidRPr="003169E4" w:rsidRDefault="0072475C" w:rsidP="00670DCB">
            <w:pPr>
              <w:rPr>
                <w:sz w:val="20"/>
                <w:szCs w:val="20"/>
              </w:rPr>
            </w:pPr>
            <w:r w:rsidRPr="003169E4">
              <w:rPr>
                <w:sz w:val="20"/>
                <w:szCs w:val="20"/>
              </w:rPr>
              <w:t>g</w:t>
            </w:r>
          </w:p>
        </w:tc>
        <w:tc>
          <w:tcPr>
            <w:tcW w:w="1024" w:type="dxa"/>
          </w:tcPr>
          <w:p w14:paraId="7AF3FEEA" w14:textId="77777777" w:rsidR="0072475C" w:rsidRPr="003169E4" w:rsidRDefault="0072475C" w:rsidP="00670DCB">
            <w:pPr>
              <w:rPr>
                <w:sz w:val="20"/>
                <w:szCs w:val="20"/>
              </w:rPr>
            </w:pPr>
            <w:r w:rsidRPr="003169E4">
              <w:rPr>
                <w:sz w:val="20"/>
                <w:szCs w:val="20"/>
              </w:rPr>
              <w:t>G</w:t>
            </w:r>
          </w:p>
        </w:tc>
        <w:tc>
          <w:tcPr>
            <w:tcW w:w="1024" w:type="dxa"/>
          </w:tcPr>
          <w:p w14:paraId="7D87570F" w14:textId="77777777" w:rsidR="0072475C" w:rsidRPr="003169E4" w:rsidRDefault="0072475C" w:rsidP="00670DCB">
            <w:pPr>
              <w:rPr>
                <w:sz w:val="20"/>
                <w:szCs w:val="20"/>
              </w:rPr>
            </w:pPr>
            <w:r w:rsidRPr="003169E4">
              <w:rPr>
                <w:sz w:val="20"/>
                <w:szCs w:val="20"/>
              </w:rPr>
              <w:t>g</w:t>
            </w:r>
          </w:p>
        </w:tc>
        <w:tc>
          <w:tcPr>
            <w:tcW w:w="1024" w:type="dxa"/>
          </w:tcPr>
          <w:p w14:paraId="4C23C49F" w14:textId="77777777" w:rsidR="0072475C" w:rsidRPr="003169E4" w:rsidRDefault="0072475C" w:rsidP="00670DCB">
            <w:pPr>
              <w:rPr>
                <w:sz w:val="20"/>
                <w:szCs w:val="20"/>
              </w:rPr>
            </w:pPr>
            <w:r w:rsidRPr="003169E4">
              <w:rPr>
                <w:sz w:val="20"/>
                <w:szCs w:val="20"/>
              </w:rPr>
              <w:t>G</w:t>
            </w:r>
          </w:p>
        </w:tc>
        <w:tc>
          <w:tcPr>
            <w:tcW w:w="1024" w:type="dxa"/>
          </w:tcPr>
          <w:p w14:paraId="133AF071" w14:textId="77777777" w:rsidR="0072475C" w:rsidRPr="003169E4" w:rsidRDefault="0072475C" w:rsidP="00670DCB">
            <w:pPr>
              <w:rPr>
                <w:sz w:val="20"/>
                <w:szCs w:val="20"/>
              </w:rPr>
            </w:pPr>
            <w:r w:rsidRPr="003169E4">
              <w:rPr>
                <w:sz w:val="20"/>
                <w:szCs w:val="20"/>
              </w:rPr>
              <w:t>G</w:t>
            </w:r>
          </w:p>
        </w:tc>
        <w:tc>
          <w:tcPr>
            <w:tcW w:w="1024" w:type="dxa"/>
          </w:tcPr>
          <w:p w14:paraId="5726C902" w14:textId="77777777" w:rsidR="0072475C" w:rsidRPr="003169E4" w:rsidRDefault="0072475C" w:rsidP="00670DCB">
            <w:pPr>
              <w:rPr>
                <w:sz w:val="20"/>
                <w:szCs w:val="20"/>
              </w:rPr>
            </w:pPr>
            <w:r w:rsidRPr="003169E4">
              <w:rPr>
                <w:sz w:val="20"/>
                <w:szCs w:val="20"/>
              </w:rPr>
              <w:t>g</w:t>
            </w:r>
          </w:p>
        </w:tc>
      </w:tr>
      <w:tr w:rsidR="0072475C" w14:paraId="23764CE4" w14:textId="77777777" w:rsidTr="00670DCB">
        <w:tc>
          <w:tcPr>
            <w:tcW w:w="1074" w:type="dxa"/>
          </w:tcPr>
          <w:p w14:paraId="6D87FBC1" w14:textId="77777777" w:rsidR="0072475C" w:rsidRPr="003169E4" w:rsidRDefault="0072475C" w:rsidP="00670DCB">
            <w:pPr>
              <w:rPr>
                <w:sz w:val="20"/>
                <w:szCs w:val="20"/>
              </w:rPr>
            </w:pPr>
            <w:r w:rsidRPr="003169E4">
              <w:rPr>
                <w:sz w:val="20"/>
                <w:szCs w:val="20"/>
              </w:rPr>
              <w:t>Observed result R</w:t>
            </w:r>
          </w:p>
        </w:tc>
        <w:tc>
          <w:tcPr>
            <w:tcW w:w="1023" w:type="dxa"/>
          </w:tcPr>
          <w:p w14:paraId="14D2067D" w14:textId="77777777" w:rsidR="0072475C" w:rsidRPr="003169E4" w:rsidRDefault="0072475C" w:rsidP="00670DCB">
            <w:pPr>
              <w:rPr>
                <w:sz w:val="20"/>
                <w:szCs w:val="20"/>
              </w:rPr>
            </w:pPr>
            <w:r w:rsidRPr="003169E4">
              <w:rPr>
                <w:sz w:val="20"/>
                <w:szCs w:val="20"/>
              </w:rPr>
              <w:t>S</w:t>
            </w:r>
          </w:p>
        </w:tc>
        <w:tc>
          <w:tcPr>
            <w:tcW w:w="1023" w:type="dxa"/>
          </w:tcPr>
          <w:p w14:paraId="584FA820" w14:textId="77777777" w:rsidR="0072475C" w:rsidRPr="003169E4" w:rsidRDefault="0072475C" w:rsidP="00670DCB">
            <w:pPr>
              <w:rPr>
                <w:sz w:val="20"/>
                <w:szCs w:val="20"/>
              </w:rPr>
            </w:pPr>
            <w:r w:rsidRPr="003169E4">
              <w:rPr>
                <w:sz w:val="20"/>
                <w:szCs w:val="20"/>
              </w:rPr>
              <w:t>T</w:t>
            </w:r>
          </w:p>
        </w:tc>
        <w:tc>
          <w:tcPr>
            <w:tcW w:w="1023" w:type="dxa"/>
          </w:tcPr>
          <w:p w14:paraId="02F1AEBE" w14:textId="77777777" w:rsidR="0072475C" w:rsidRPr="003169E4" w:rsidRDefault="0072475C" w:rsidP="00670DCB">
            <w:pPr>
              <w:rPr>
                <w:sz w:val="20"/>
                <w:szCs w:val="20"/>
              </w:rPr>
            </w:pPr>
            <w:r w:rsidRPr="003169E4">
              <w:rPr>
                <w:sz w:val="20"/>
                <w:szCs w:val="20"/>
              </w:rPr>
              <w:t>U</w:t>
            </w:r>
          </w:p>
        </w:tc>
        <w:tc>
          <w:tcPr>
            <w:tcW w:w="1024" w:type="dxa"/>
          </w:tcPr>
          <w:p w14:paraId="0CC95DB5" w14:textId="77777777" w:rsidR="0072475C" w:rsidRPr="003169E4" w:rsidRDefault="0072475C" w:rsidP="00670DCB">
            <w:pPr>
              <w:rPr>
                <w:sz w:val="20"/>
                <w:szCs w:val="20"/>
              </w:rPr>
            </w:pPr>
            <w:r w:rsidRPr="003169E4">
              <w:rPr>
                <w:sz w:val="20"/>
                <w:szCs w:val="20"/>
              </w:rPr>
              <w:t>V</w:t>
            </w:r>
          </w:p>
        </w:tc>
        <w:tc>
          <w:tcPr>
            <w:tcW w:w="1024" w:type="dxa"/>
          </w:tcPr>
          <w:p w14:paraId="241CA274" w14:textId="77777777" w:rsidR="0072475C" w:rsidRPr="003169E4" w:rsidRDefault="0072475C" w:rsidP="00670DCB">
            <w:pPr>
              <w:rPr>
                <w:sz w:val="20"/>
                <w:szCs w:val="20"/>
              </w:rPr>
            </w:pPr>
            <w:r w:rsidRPr="003169E4">
              <w:rPr>
                <w:sz w:val="20"/>
                <w:szCs w:val="20"/>
              </w:rPr>
              <w:t>W</w:t>
            </w:r>
          </w:p>
        </w:tc>
        <w:tc>
          <w:tcPr>
            <w:tcW w:w="1024" w:type="dxa"/>
          </w:tcPr>
          <w:p w14:paraId="7991015D" w14:textId="77777777" w:rsidR="0072475C" w:rsidRPr="003169E4" w:rsidRDefault="0072475C" w:rsidP="00670DCB">
            <w:pPr>
              <w:rPr>
                <w:sz w:val="20"/>
                <w:szCs w:val="20"/>
              </w:rPr>
            </w:pPr>
            <w:r w:rsidRPr="003169E4">
              <w:rPr>
                <w:sz w:val="20"/>
                <w:szCs w:val="20"/>
              </w:rPr>
              <w:t>X</w:t>
            </w:r>
          </w:p>
        </w:tc>
        <w:tc>
          <w:tcPr>
            <w:tcW w:w="1024" w:type="dxa"/>
          </w:tcPr>
          <w:p w14:paraId="4AEE3772" w14:textId="77777777" w:rsidR="0072475C" w:rsidRPr="003169E4" w:rsidRDefault="0072475C" w:rsidP="00670DCB">
            <w:pPr>
              <w:rPr>
                <w:sz w:val="20"/>
                <w:szCs w:val="20"/>
              </w:rPr>
            </w:pPr>
            <w:r w:rsidRPr="003169E4">
              <w:rPr>
                <w:sz w:val="20"/>
                <w:szCs w:val="20"/>
              </w:rPr>
              <w:t>Y</w:t>
            </w:r>
          </w:p>
        </w:tc>
        <w:tc>
          <w:tcPr>
            <w:tcW w:w="1024" w:type="dxa"/>
          </w:tcPr>
          <w:p w14:paraId="2FD1ECCD" w14:textId="77777777" w:rsidR="0072475C" w:rsidRPr="003169E4" w:rsidRDefault="0072475C" w:rsidP="00670DCB">
            <w:pPr>
              <w:rPr>
                <w:sz w:val="20"/>
                <w:szCs w:val="20"/>
              </w:rPr>
            </w:pPr>
            <w:r w:rsidRPr="003169E4">
              <w:rPr>
                <w:sz w:val="20"/>
                <w:szCs w:val="20"/>
              </w:rPr>
              <w:t>Z</w:t>
            </w:r>
          </w:p>
        </w:tc>
      </w:tr>
    </w:tbl>
    <w:p w14:paraId="5735B66E" w14:textId="0DD75280" w:rsidR="00A73D5E" w:rsidRPr="00EC3B28" w:rsidRDefault="00A73D5E" w:rsidP="00A73D5E">
      <w:pPr>
        <w:spacing w:after="0"/>
        <w:rPr>
          <w:rFonts w:eastAsia="Arial"/>
          <w:sz w:val="20"/>
          <w:szCs w:val="20"/>
        </w:rPr>
      </w:pPr>
    </w:p>
    <w:p w14:paraId="42A484CF" w14:textId="77777777" w:rsidR="00A73D5E" w:rsidRPr="00EC3B28" w:rsidRDefault="00A73D5E" w:rsidP="00A73D5E">
      <w:pPr>
        <w:pStyle w:val="Heading2"/>
        <w:rPr>
          <w:rFonts w:ascii="Times New Roman" w:hAnsi="Times New Roman" w:cs="Times New Roman"/>
          <w:color w:val="000000" w:themeColor="text1"/>
          <w:sz w:val="20"/>
          <w:szCs w:val="20"/>
        </w:rPr>
      </w:pPr>
      <w:bookmarkStart w:id="57" w:name="_Toc535221052"/>
      <w:bookmarkStart w:id="58" w:name="_Toc5193407"/>
      <w:r w:rsidRPr="00EC3B28">
        <w:rPr>
          <w:rFonts w:ascii="Times New Roman" w:hAnsi="Times New Roman" w:cs="Times New Roman"/>
          <w:color w:val="000000" w:themeColor="text1"/>
          <w:sz w:val="20"/>
          <w:szCs w:val="20"/>
        </w:rPr>
        <w:t>2.5 Stability</w:t>
      </w:r>
      <w:bookmarkEnd w:id="57"/>
      <w:bookmarkEnd w:id="58"/>
    </w:p>
    <w:p w14:paraId="3C87D3CA" w14:textId="0ACC1CF6" w:rsidR="00A73D5E" w:rsidRPr="00EC3B28" w:rsidRDefault="00A73D5E" w:rsidP="00A73D5E">
      <w:pPr>
        <w:spacing w:after="0"/>
        <w:rPr>
          <w:rFonts w:eastAsiaTheme="minorEastAsia"/>
          <w:sz w:val="20"/>
          <w:szCs w:val="20"/>
        </w:rPr>
      </w:pPr>
      <w:r w:rsidRPr="00EC3B28">
        <w:rPr>
          <w:rFonts w:eastAsiaTheme="minorEastAsia"/>
          <w:sz w:val="20"/>
          <w:szCs w:val="20"/>
        </w:rPr>
        <w:t>The stability of the calibration standard</w:t>
      </w:r>
      <w:r w:rsidR="00000B26">
        <w:rPr>
          <w:rFonts w:eastAsiaTheme="minorEastAsia"/>
          <w:sz w:val="20"/>
          <w:szCs w:val="20"/>
        </w:rPr>
        <w:t>, matrix-matched standard and/or matrix-fortified standards</w:t>
      </w:r>
      <w:r w:rsidRPr="00EC3B28">
        <w:rPr>
          <w:rFonts w:eastAsiaTheme="minorEastAsia"/>
          <w:sz w:val="20"/>
          <w:szCs w:val="20"/>
        </w:rPr>
        <w:t xml:space="preserve"> and of analyte or matrix constituents in the sample during storage or analysis shall be determined, as instabilities might influence the outcome of the result of analysis.</w:t>
      </w:r>
      <w:r w:rsidRPr="00EC3B28">
        <w:rPr>
          <w:rFonts w:eastAsiaTheme="minorEastAsia"/>
          <w:color w:val="FF0000"/>
          <w:sz w:val="20"/>
          <w:szCs w:val="20"/>
        </w:rPr>
        <w:t xml:space="preserve"> </w:t>
      </w:r>
      <w:r w:rsidRPr="00EC3B28">
        <w:rPr>
          <w:rFonts w:eastAsiaTheme="minorEastAsia"/>
          <w:sz w:val="20"/>
          <w:szCs w:val="20"/>
        </w:rPr>
        <w:t>The mean value of five replicate solutions, which were stored, shall not differ by more than 10% from the mean value of 5 new replicate solutions. The mean value of the 5 new solutions shall be used as the basis for calculating the percentage difference. Usually the analyte stability is well characterised under various storage conditions. The experiments carried out for monitoring the storage conditions of standards and samples, which are carried out as part of the normal laboratory accreditation and quality control system, can provide the required information. In case the required stability data are not available, the following approaches shall be used:</w:t>
      </w:r>
    </w:p>
    <w:p w14:paraId="187DC4A2" w14:textId="77777777" w:rsidR="00A73D5E" w:rsidRPr="00EC3B28" w:rsidRDefault="00A73D5E" w:rsidP="00A73D5E">
      <w:pPr>
        <w:spacing w:after="0"/>
        <w:rPr>
          <w:rFonts w:eastAsiaTheme="minorEastAsia"/>
          <w:sz w:val="20"/>
          <w:szCs w:val="20"/>
        </w:rPr>
      </w:pPr>
      <w:r w:rsidRPr="00EC3B28">
        <w:rPr>
          <w:rFonts w:eastAsiaTheme="minorEastAsia"/>
          <w:sz w:val="20"/>
          <w:szCs w:val="20"/>
        </w:rPr>
        <w:t>Determination of the stability of the analyte in solution:</w:t>
      </w:r>
    </w:p>
    <w:p w14:paraId="2BED4CD3" w14:textId="26A0547B" w:rsidR="00A73D5E" w:rsidRPr="00EC3B28" w:rsidRDefault="00A73D5E" w:rsidP="00A73D5E">
      <w:pPr>
        <w:spacing w:after="0"/>
        <w:ind w:left="720"/>
        <w:rPr>
          <w:rFonts w:eastAsiaTheme="minorEastAsia"/>
          <w:sz w:val="20"/>
          <w:szCs w:val="20"/>
        </w:rPr>
      </w:pPr>
      <w:r w:rsidRPr="00EC3B28">
        <w:rPr>
          <w:rFonts w:eastAsiaTheme="minorEastAsia"/>
          <w:sz w:val="20"/>
          <w:szCs w:val="20"/>
        </w:rPr>
        <w:t>- Prepare fresh stock solutions of the analyte(s) and dilute as specified in the test instructions to yield sufficient aliquots (e.g. 40) of each selected concentration. Samples shall be prepared of</w:t>
      </w:r>
    </w:p>
    <w:p w14:paraId="49A9098D" w14:textId="080BC344" w:rsidR="00A73D5E" w:rsidRPr="00EC3B28" w:rsidRDefault="00A73D5E" w:rsidP="00A73D5E">
      <w:pPr>
        <w:spacing w:after="0"/>
        <w:ind w:left="1440"/>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solutions of the analyte, which are used for fortification</w:t>
      </w:r>
      <w:r w:rsidR="00B265E2">
        <w:rPr>
          <w:rFonts w:eastAsiaTheme="minorEastAsia"/>
          <w:sz w:val="20"/>
          <w:szCs w:val="20"/>
        </w:rPr>
        <w:t>,</w:t>
      </w:r>
    </w:p>
    <w:p w14:paraId="74E04A53" w14:textId="622622D2" w:rsidR="00A73D5E" w:rsidRPr="00EC3B28" w:rsidRDefault="00A73D5E" w:rsidP="00A73D5E">
      <w:pPr>
        <w:spacing w:after="0"/>
        <w:ind w:left="1440"/>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analyte solutions, used for the final analysis</w:t>
      </w:r>
      <w:r w:rsidR="00B265E2">
        <w:rPr>
          <w:rFonts w:eastAsiaTheme="minorEastAsia"/>
          <w:sz w:val="20"/>
          <w:szCs w:val="20"/>
        </w:rPr>
        <w:t>,</w:t>
      </w:r>
    </w:p>
    <w:p w14:paraId="5B9045C4" w14:textId="3115AB3B" w:rsidR="00A73D5E" w:rsidRPr="00EC3B28" w:rsidRDefault="00A73D5E" w:rsidP="00A73D5E">
      <w:pPr>
        <w:spacing w:after="0"/>
        <w:ind w:left="1440"/>
        <w:rPr>
          <w:rFonts w:eastAsiaTheme="minorEastAsia"/>
          <w:sz w:val="20"/>
          <w:szCs w:val="20"/>
        </w:rPr>
      </w:pPr>
      <w:r w:rsidRPr="00EC3B28">
        <w:rPr>
          <w:rFonts w:eastAsiaTheme="minorEastAsia"/>
          <w:sz w:val="20"/>
          <w:szCs w:val="20"/>
        </w:rPr>
        <w:t>-</w:t>
      </w:r>
      <w:r w:rsidR="00793651">
        <w:rPr>
          <w:rFonts w:eastAsiaTheme="minorEastAsia"/>
          <w:sz w:val="20"/>
          <w:szCs w:val="20"/>
        </w:rPr>
        <w:t xml:space="preserve"> </w:t>
      </w:r>
      <w:r w:rsidRPr="00EC3B28">
        <w:rPr>
          <w:rFonts w:eastAsiaTheme="minorEastAsia"/>
          <w:sz w:val="20"/>
          <w:szCs w:val="20"/>
        </w:rPr>
        <w:t>any other solution that is of interest (e.g. derivatised standards).</w:t>
      </w:r>
    </w:p>
    <w:p w14:paraId="48D15488" w14:textId="77777777" w:rsidR="00A73D5E" w:rsidRPr="00EC3B28" w:rsidRDefault="00A73D5E" w:rsidP="00A73D5E">
      <w:pPr>
        <w:spacing w:after="0"/>
        <w:ind w:left="720"/>
        <w:rPr>
          <w:rFonts w:eastAsiaTheme="minorEastAsia"/>
          <w:sz w:val="20"/>
          <w:szCs w:val="20"/>
        </w:rPr>
      </w:pPr>
      <w:r w:rsidRPr="00EC3B28">
        <w:rPr>
          <w:rFonts w:eastAsiaTheme="minorEastAsia"/>
          <w:sz w:val="20"/>
          <w:szCs w:val="20"/>
        </w:rPr>
        <w:t>- Measure the analyte content in the freshly prepared solution according to the test instructions.</w:t>
      </w:r>
    </w:p>
    <w:p w14:paraId="21A4C791" w14:textId="0E32778F" w:rsidR="00A73D5E" w:rsidRPr="00EC3B28" w:rsidRDefault="00A73D5E" w:rsidP="00A73D5E">
      <w:pPr>
        <w:spacing w:after="0"/>
        <w:ind w:left="720"/>
        <w:rPr>
          <w:rFonts w:eastAsiaTheme="minorEastAsia"/>
          <w:sz w:val="20"/>
          <w:szCs w:val="20"/>
        </w:rPr>
      </w:pPr>
      <w:r w:rsidRPr="00EC3B28">
        <w:rPr>
          <w:rFonts w:eastAsiaTheme="minorEastAsia"/>
          <w:sz w:val="20"/>
          <w:szCs w:val="20"/>
        </w:rPr>
        <w:t>- Dispense appropriate volumes into suitable containers, label and store according to the light and temperature conditions of</w:t>
      </w:r>
      <w:r w:rsidR="004E5BE9">
        <w:rPr>
          <w:rFonts w:eastAsiaTheme="minorEastAsia"/>
          <w:sz w:val="20"/>
          <w:szCs w:val="20"/>
        </w:rPr>
        <w:t xml:space="preserve"> the scheme included in Table 8</w:t>
      </w:r>
      <w:r w:rsidRPr="00EC3B28">
        <w:rPr>
          <w:rFonts w:eastAsiaTheme="minorEastAsia"/>
          <w:sz w:val="20"/>
          <w:szCs w:val="20"/>
        </w:rPr>
        <w:t>. The storage time shall be two, three and four weeks or longer, until the first degradation phenomena are observable during identification and/or quantification</w:t>
      </w:r>
      <w:r w:rsidR="001F7DE6">
        <w:rPr>
          <w:rFonts w:eastAsiaTheme="minorEastAsia"/>
          <w:sz w:val="20"/>
          <w:szCs w:val="20"/>
        </w:rPr>
        <w:t xml:space="preserve">. </w:t>
      </w:r>
    </w:p>
    <w:p w14:paraId="4988B734" w14:textId="0A78976C" w:rsidR="00A73D5E" w:rsidRPr="00EC3B28" w:rsidRDefault="00A73D5E" w:rsidP="00A73D5E">
      <w:pPr>
        <w:spacing w:after="0"/>
        <w:ind w:left="720"/>
        <w:rPr>
          <w:rFonts w:eastAsiaTheme="minorEastAsia"/>
          <w:sz w:val="20"/>
          <w:szCs w:val="20"/>
        </w:rPr>
      </w:pPr>
      <w:r w:rsidRPr="00EC3B28">
        <w:rPr>
          <w:rFonts w:eastAsiaTheme="minorEastAsia"/>
          <w:sz w:val="20"/>
          <w:szCs w:val="20"/>
        </w:rPr>
        <w:t>-</w:t>
      </w:r>
      <w:r w:rsidR="00E01501">
        <w:rPr>
          <w:rFonts w:eastAsiaTheme="minorEastAsia"/>
          <w:sz w:val="20"/>
          <w:szCs w:val="20"/>
        </w:rPr>
        <w:t xml:space="preserve"> </w:t>
      </w:r>
      <w:r w:rsidRPr="00EC3B28">
        <w:rPr>
          <w:rFonts w:eastAsiaTheme="minorEastAsia"/>
          <w:sz w:val="20"/>
          <w:szCs w:val="20"/>
        </w:rPr>
        <w:t>Calculate the concentration of the analyte(s) in each aliquot compared to the concentration of the analyte in the fresh solution, following the formula below:</w:t>
      </w:r>
    </w:p>
    <w:p w14:paraId="1CE92234" w14:textId="77777777" w:rsidR="00A73D5E" w:rsidRPr="00EC3B28" w:rsidRDefault="00A73D5E" w:rsidP="00A73D5E">
      <w:pPr>
        <w:spacing w:after="0"/>
        <w:ind w:left="1440"/>
        <w:rPr>
          <w:rFonts w:eastAsiaTheme="minorEastAsia"/>
          <w:sz w:val="20"/>
          <w:szCs w:val="20"/>
        </w:rPr>
      </w:pPr>
      <w:r w:rsidRPr="00EC3B28">
        <w:rPr>
          <w:rFonts w:eastAsiaTheme="minorEastAsia"/>
          <w:sz w:val="20"/>
          <w:szCs w:val="20"/>
          <w:lang w:val="en-US"/>
        </w:rPr>
        <w:t>Analyte Remaining (%) = C</w:t>
      </w:r>
      <w:r w:rsidRPr="003169E4">
        <w:rPr>
          <w:rFonts w:eastAsiaTheme="minorEastAsia"/>
          <w:sz w:val="20"/>
          <w:szCs w:val="20"/>
          <w:vertAlign w:val="subscript"/>
          <w:lang w:val="en-US"/>
        </w:rPr>
        <w:t>i</w:t>
      </w:r>
      <w:r w:rsidRPr="00EC3B28">
        <w:rPr>
          <w:rFonts w:eastAsiaTheme="minorEastAsia"/>
          <w:sz w:val="20"/>
          <w:szCs w:val="20"/>
          <w:lang w:val="en-US"/>
        </w:rPr>
        <w:t xml:space="preserve"> × 100/C</w:t>
      </w:r>
      <w:r w:rsidRPr="003169E4">
        <w:rPr>
          <w:rFonts w:eastAsiaTheme="minorEastAsia"/>
          <w:sz w:val="20"/>
          <w:szCs w:val="20"/>
          <w:vertAlign w:val="subscript"/>
          <w:lang w:val="en-US"/>
        </w:rPr>
        <w:t>fresh</w:t>
      </w:r>
    </w:p>
    <w:p w14:paraId="36D1F657" w14:textId="77777777" w:rsidR="00A73D5E" w:rsidRPr="00EC3B28" w:rsidRDefault="00A73D5E" w:rsidP="00A73D5E">
      <w:pPr>
        <w:spacing w:after="0"/>
        <w:ind w:left="1440"/>
        <w:rPr>
          <w:rFonts w:eastAsiaTheme="minorEastAsia"/>
          <w:sz w:val="20"/>
          <w:szCs w:val="20"/>
        </w:rPr>
      </w:pPr>
      <w:r w:rsidRPr="00EC3B28">
        <w:rPr>
          <w:rFonts w:eastAsiaTheme="minorEastAsia"/>
          <w:sz w:val="20"/>
          <w:szCs w:val="20"/>
          <w:lang w:val="en-US"/>
        </w:rPr>
        <w:t>C</w:t>
      </w:r>
      <w:r w:rsidRPr="003169E4">
        <w:rPr>
          <w:rFonts w:eastAsiaTheme="minorEastAsia"/>
          <w:sz w:val="20"/>
          <w:szCs w:val="20"/>
          <w:vertAlign w:val="subscript"/>
          <w:lang w:val="en-US"/>
        </w:rPr>
        <w:t>i</w:t>
      </w:r>
      <w:r w:rsidRPr="00EC3B28">
        <w:rPr>
          <w:rFonts w:eastAsiaTheme="minorEastAsia"/>
          <w:sz w:val="20"/>
          <w:szCs w:val="20"/>
          <w:lang w:val="en-US"/>
        </w:rPr>
        <w:t xml:space="preserve"> = concentration at time point i</w:t>
      </w:r>
    </w:p>
    <w:p w14:paraId="2FE42C17" w14:textId="01254319" w:rsidR="00A73D5E" w:rsidRDefault="00A73D5E" w:rsidP="00A73D5E">
      <w:pPr>
        <w:spacing w:after="0"/>
        <w:ind w:left="1440"/>
        <w:rPr>
          <w:rFonts w:eastAsiaTheme="minorEastAsia"/>
          <w:sz w:val="20"/>
          <w:szCs w:val="20"/>
          <w:lang w:val="en-US"/>
        </w:rPr>
      </w:pPr>
      <w:r w:rsidRPr="00EC3B28">
        <w:rPr>
          <w:rFonts w:eastAsiaTheme="minorEastAsia"/>
          <w:sz w:val="20"/>
          <w:szCs w:val="20"/>
          <w:lang w:val="en-US"/>
        </w:rPr>
        <w:t>C</w:t>
      </w:r>
      <w:r w:rsidRPr="003169E4">
        <w:rPr>
          <w:rFonts w:eastAsiaTheme="minorEastAsia"/>
          <w:sz w:val="20"/>
          <w:szCs w:val="20"/>
          <w:vertAlign w:val="subscript"/>
          <w:lang w:val="en-US"/>
        </w:rPr>
        <w:t>fresh</w:t>
      </w:r>
      <w:r w:rsidRPr="00EC3B28">
        <w:rPr>
          <w:rFonts w:eastAsiaTheme="minorEastAsia"/>
          <w:sz w:val="20"/>
          <w:szCs w:val="20"/>
          <w:lang w:val="en-US"/>
        </w:rPr>
        <w:t xml:space="preserve"> = concentration of fresh solution</w:t>
      </w:r>
    </w:p>
    <w:p w14:paraId="0D8BB81A" w14:textId="77777777" w:rsidR="00725F0F" w:rsidRPr="00EC3B28" w:rsidRDefault="00725F0F" w:rsidP="00A73D5E">
      <w:pPr>
        <w:spacing w:after="0"/>
        <w:ind w:left="1440"/>
        <w:rPr>
          <w:rFonts w:eastAsiaTheme="minorEastAsia"/>
          <w:sz w:val="20"/>
          <w:szCs w:val="20"/>
        </w:rPr>
      </w:pPr>
    </w:p>
    <w:p w14:paraId="5F7C48F1" w14:textId="77777777" w:rsidR="00A73D5E" w:rsidRPr="00EC3B28" w:rsidRDefault="00A73D5E" w:rsidP="00A73D5E">
      <w:pPr>
        <w:spacing w:after="0"/>
        <w:rPr>
          <w:rFonts w:eastAsiaTheme="minorEastAsia"/>
          <w:sz w:val="20"/>
          <w:szCs w:val="20"/>
        </w:rPr>
      </w:pPr>
      <w:r w:rsidRPr="00EC3B28">
        <w:rPr>
          <w:rFonts w:eastAsiaTheme="minorEastAsia"/>
          <w:sz w:val="20"/>
          <w:szCs w:val="20"/>
        </w:rPr>
        <w:t>Determination of the stability of analyte(s) in matrix</w:t>
      </w:r>
    </w:p>
    <w:p w14:paraId="3E07368B" w14:textId="77777777" w:rsidR="00A73D5E" w:rsidRPr="00EC3B28" w:rsidRDefault="00A73D5E" w:rsidP="00A73D5E">
      <w:pPr>
        <w:spacing w:after="0"/>
        <w:ind w:left="720"/>
        <w:rPr>
          <w:rFonts w:eastAsia="Arial"/>
          <w:sz w:val="20"/>
          <w:szCs w:val="20"/>
        </w:rPr>
      </w:pPr>
      <w:r w:rsidRPr="00EC3B28">
        <w:rPr>
          <w:rFonts w:eastAsiaTheme="minorEastAsia"/>
          <w:sz w:val="20"/>
          <w:szCs w:val="20"/>
        </w:rPr>
        <w:t>- Use where possible incurred samples. When no incurred material is available, a blank matrix fortified with the analyte shall be used</w:t>
      </w:r>
      <w:r w:rsidRPr="00EC3B28">
        <w:rPr>
          <w:rFonts w:eastAsia="Arial"/>
          <w:sz w:val="20"/>
          <w:szCs w:val="20"/>
        </w:rPr>
        <w:t>.</w:t>
      </w:r>
    </w:p>
    <w:p w14:paraId="35C4490A" w14:textId="67F3521E" w:rsidR="00A73D5E" w:rsidRPr="00EC3B28" w:rsidRDefault="00A73D5E" w:rsidP="00A73D5E">
      <w:pPr>
        <w:spacing w:after="0"/>
        <w:ind w:left="720"/>
        <w:rPr>
          <w:rFonts w:eastAsiaTheme="minorEastAsia"/>
          <w:sz w:val="20"/>
          <w:szCs w:val="20"/>
        </w:rPr>
      </w:pPr>
      <w:r w:rsidRPr="00EC3B28">
        <w:rPr>
          <w:rFonts w:eastAsiaTheme="minorEastAsia"/>
          <w:sz w:val="20"/>
          <w:szCs w:val="20"/>
        </w:rPr>
        <w:t xml:space="preserve">- When incurred material is available, determine the concentration in the material, while the material is still fresh. Stored further aliquots of the </w:t>
      </w:r>
      <w:r w:rsidR="00D67A8A">
        <w:rPr>
          <w:rFonts w:eastAsiaTheme="minorEastAsia"/>
          <w:sz w:val="20"/>
          <w:szCs w:val="20"/>
        </w:rPr>
        <w:t xml:space="preserve">homogenized </w:t>
      </w:r>
      <w:r w:rsidRPr="00EC3B28">
        <w:rPr>
          <w:rFonts w:eastAsiaTheme="minorEastAsia"/>
          <w:sz w:val="20"/>
          <w:szCs w:val="20"/>
        </w:rPr>
        <w:t xml:space="preserve">incurred material at minus 20 °C or lower if required, and determine the concentrations of the analyte </w:t>
      </w:r>
      <w:r w:rsidR="00D67A8A">
        <w:rPr>
          <w:rFonts w:eastAsiaTheme="minorEastAsia"/>
          <w:sz w:val="20"/>
          <w:szCs w:val="20"/>
        </w:rPr>
        <w:t>-as long as the sample is re</w:t>
      </w:r>
      <w:r w:rsidR="00FD7106">
        <w:rPr>
          <w:rFonts w:eastAsiaTheme="minorEastAsia"/>
          <w:sz w:val="20"/>
          <w:szCs w:val="20"/>
        </w:rPr>
        <w:t>t</w:t>
      </w:r>
      <w:r w:rsidR="00D67A8A">
        <w:rPr>
          <w:rFonts w:eastAsiaTheme="minorEastAsia"/>
          <w:sz w:val="20"/>
          <w:szCs w:val="20"/>
        </w:rPr>
        <w:t>ained in the laboratory</w:t>
      </w:r>
      <w:r w:rsidRPr="00EC3B28">
        <w:rPr>
          <w:rFonts w:eastAsiaTheme="minorEastAsia"/>
          <w:sz w:val="20"/>
          <w:szCs w:val="20"/>
        </w:rPr>
        <w:t xml:space="preserve">. </w:t>
      </w:r>
    </w:p>
    <w:p w14:paraId="4632D69B" w14:textId="653B42B8" w:rsidR="00A73D5E" w:rsidRPr="00EC3B28" w:rsidRDefault="00A73D5E" w:rsidP="00A73D5E">
      <w:pPr>
        <w:spacing w:after="0"/>
        <w:ind w:left="720"/>
        <w:rPr>
          <w:rFonts w:eastAsiaTheme="minorEastAsia"/>
          <w:sz w:val="20"/>
          <w:szCs w:val="20"/>
        </w:rPr>
      </w:pPr>
      <w:r w:rsidRPr="00EC3B28">
        <w:rPr>
          <w:rFonts w:eastAsiaTheme="minorEastAsia"/>
          <w:sz w:val="20"/>
          <w:szCs w:val="20"/>
        </w:rPr>
        <w:t>- If no incurred material is available, take some blank material and homogenise it. Divide the material into five aliquots. Fortify each aliquot with the analyte, which should preferably be prepared in a small quantity of aqueous solution. Analyse one aliquot immediately. Store the remaining aliquots at least minus 20 °C or lower if required and analyse them after short term, mid-long term and long term storage.</w:t>
      </w:r>
    </w:p>
    <w:p w14:paraId="275FC736" w14:textId="314813F5" w:rsidR="00A73D5E" w:rsidRPr="00EC3B28" w:rsidRDefault="00A73D5E" w:rsidP="00A73D5E">
      <w:pPr>
        <w:spacing w:after="0"/>
        <w:ind w:left="720"/>
        <w:rPr>
          <w:rFonts w:eastAsiaTheme="minorEastAsia"/>
          <w:sz w:val="20"/>
          <w:szCs w:val="20"/>
        </w:rPr>
      </w:pPr>
      <w:r w:rsidRPr="00EC3B28">
        <w:rPr>
          <w:rFonts w:eastAsiaTheme="minorEastAsia"/>
          <w:sz w:val="20"/>
          <w:szCs w:val="20"/>
        </w:rPr>
        <w:t>-</w:t>
      </w:r>
      <w:r w:rsidR="00C625BD">
        <w:rPr>
          <w:rFonts w:eastAsiaTheme="minorEastAsia"/>
          <w:sz w:val="20"/>
          <w:szCs w:val="20"/>
        </w:rPr>
        <w:t xml:space="preserve"> </w:t>
      </w:r>
      <w:r w:rsidRPr="00EC3B28">
        <w:rPr>
          <w:rFonts w:eastAsiaTheme="minorEastAsia"/>
          <w:sz w:val="20"/>
          <w:szCs w:val="20"/>
        </w:rPr>
        <w:t>If stability data for analytes in the matrix are available (e.g. on the basis of information from the EURLs, published data, etc.), these data do not need to be determined by each laboratory. However referring to available stability data of analytes in solution is only acceptable if identical conditions are applied. Calculate the concentration of the analyte(s) in each aliquot compared to the concentration of the analyte in the fresh solution, according to the formula included above for the determination of the stability of the analyte in solution.</w:t>
      </w:r>
    </w:p>
    <w:p w14:paraId="206A205C" w14:textId="02C07CE5" w:rsidR="00A73D5E" w:rsidRDefault="00A73D5E" w:rsidP="00A73D5E">
      <w:pPr>
        <w:spacing w:after="0"/>
        <w:ind w:left="720"/>
        <w:rPr>
          <w:rFonts w:eastAsiaTheme="minorEastAsia"/>
          <w:sz w:val="20"/>
          <w:szCs w:val="20"/>
        </w:rPr>
      </w:pPr>
      <w:bookmarkStart w:id="59" w:name="_Toc535221053"/>
      <w:r w:rsidRPr="00EC3B28">
        <w:rPr>
          <w:rFonts w:eastAsiaTheme="minorEastAsia"/>
          <w:sz w:val="20"/>
          <w:szCs w:val="20"/>
        </w:rPr>
        <w:t>-Record the maximum acceptable storage time and the optimum storage conditions.</w:t>
      </w:r>
    </w:p>
    <w:p w14:paraId="2D841025" w14:textId="77777777" w:rsidR="00725F0F" w:rsidRPr="00EC3B28" w:rsidRDefault="00725F0F" w:rsidP="00A73D5E">
      <w:pPr>
        <w:spacing w:after="0"/>
        <w:ind w:left="720"/>
        <w:rPr>
          <w:rFonts w:eastAsiaTheme="minorEastAsia"/>
          <w:sz w:val="20"/>
          <w:szCs w:val="20"/>
        </w:rPr>
      </w:pPr>
    </w:p>
    <w:p w14:paraId="130648BE" w14:textId="1908097D" w:rsidR="00A73D5E" w:rsidRDefault="002C084F" w:rsidP="00A73D5E">
      <w:pPr>
        <w:spacing w:after="0"/>
        <w:rPr>
          <w:sz w:val="20"/>
          <w:szCs w:val="20"/>
        </w:rPr>
      </w:pPr>
      <w:r w:rsidRPr="00E154D6">
        <w:rPr>
          <w:b/>
          <w:sz w:val="20"/>
          <w:szCs w:val="20"/>
        </w:rPr>
        <w:t>Table 8.</w:t>
      </w:r>
      <w:r w:rsidRPr="00B317C5">
        <w:rPr>
          <w:sz w:val="20"/>
          <w:szCs w:val="20"/>
        </w:rPr>
        <w:t xml:space="preserve"> Scheme for determination of analyte stability in solution</w:t>
      </w:r>
    </w:p>
    <w:p w14:paraId="2B8E96EF" w14:textId="77777777" w:rsidR="002C084F" w:rsidRPr="00EC3B28" w:rsidRDefault="002C084F" w:rsidP="00A73D5E">
      <w:pPr>
        <w:spacing w:after="0"/>
        <w:rPr>
          <w:rFonts w:eastAsiaTheme="minorEastAsia"/>
          <w:sz w:val="20"/>
          <w:szCs w:val="20"/>
          <w:highlight w:val="yellow"/>
        </w:rPr>
      </w:pPr>
    </w:p>
    <w:tbl>
      <w:tblPr>
        <w:tblStyle w:val="TableGrid"/>
        <w:tblW w:w="0" w:type="auto"/>
        <w:tblLook w:val="04A0" w:firstRow="1" w:lastRow="0" w:firstColumn="1" w:lastColumn="0" w:noHBand="0" w:noVBand="1"/>
      </w:tblPr>
      <w:tblGrid>
        <w:gridCol w:w="2303"/>
        <w:gridCol w:w="2303"/>
        <w:gridCol w:w="2303"/>
        <w:gridCol w:w="2303"/>
      </w:tblGrid>
      <w:tr w:rsidR="0072475C" w:rsidRPr="002C084F" w14:paraId="5CF8E4F6" w14:textId="77777777" w:rsidTr="00670DCB">
        <w:tc>
          <w:tcPr>
            <w:tcW w:w="9212" w:type="dxa"/>
            <w:gridSpan w:val="4"/>
          </w:tcPr>
          <w:p w14:paraId="028C572C" w14:textId="3A9C6DD0" w:rsidR="0072475C" w:rsidRPr="00E154D6" w:rsidRDefault="0072475C" w:rsidP="00E154D6">
            <w:pPr>
              <w:jc w:val="center"/>
              <w:rPr>
                <w:b/>
                <w:sz w:val="20"/>
                <w:szCs w:val="20"/>
              </w:rPr>
            </w:pPr>
            <w:r w:rsidRPr="00E154D6">
              <w:rPr>
                <w:b/>
                <w:sz w:val="20"/>
                <w:szCs w:val="20"/>
              </w:rPr>
              <w:t>Table 8</w:t>
            </w:r>
            <w:r w:rsidR="002C084F" w:rsidRPr="00E154D6">
              <w:rPr>
                <w:b/>
                <w:sz w:val="20"/>
                <w:szCs w:val="20"/>
              </w:rPr>
              <w:t>.</w:t>
            </w:r>
            <w:r w:rsidRPr="00E154D6">
              <w:rPr>
                <w:b/>
                <w:sz w:val="20"/>
                <w:szCs w:val="20"/>
              </w:rPr>
              <w:t xml:space="preserve"> Scheme for determination of analyte stability in solution</w:t>
            </w:r>
          </w:p>
        </w:tc>
      </w:tr>
      <w:tr w:rsidR="0072475C" w:rsidRPr="002C084F" w14:paraId="1FC2EC5F" w14:textId="77777777" w:rsidTr="00670DCB">
        <w:tc>
          <w:tcPr>
            <w:tcW w:w="2303" w:type="dxa"/>
          </w:tcPr>
          <w:p w14:paraId="53749121" w14:textId="77777777" w:rsidR="0072475C" w:rsidRPr="00E154D6" w:rsidRDefault="0072475C" w:rsidP="00670DCB">
            <w:pPr>
              <w:rPr>
                <w:sz w:val="20"/>
                <w:szCs w:val="20"/>
              </w:rPr>
            </w:pPr>
          </w:p>
        </w:tc>
        <w:tc>
          <w:tcPr>
            <w:tcW w:w="2303" w:type="dxa"/>
          </w:tcPr>
          <w:p w14:paraId="39F06EB6" w14:textId="77777777" w:rsidR="0072475C" w:rsidRPr="00E154D6" w:rsidRDefault="0072475C" w:rsidP="00670DCB">
            <w:pPr>
              <w:rPr>
                <w:sz w:val="20"/>
                <w:szCs w:val="20"/>
              </w:rPr>
            </w:pPr>
            <w:r w:rsidRPr="00E154D6">
              <w:rPr>
                <w:sz w:val="20"/>
                <w:szCs w:val="20"/>
              </w:rPr>
              <w:t>-20°C</w:t>
            </w:r>
          </w:p>
        </w:tc>
        <w:tc>
          <w:tcPr>
            <w:tcW w:w="2303" w:type="dxa"/>
          </w:tcPr>
          <w:p w14:paraId="57D42025" w14:textId="77777777" w:rsidR="0072475C" w:rsidRPr="00E154D6" w:rsidRDefault="0072475C" w:rsidP="00670DCB">
            <w:pPr>
              <w:rPr>
                <w:sz w:val="20"/>
                <w:szCs w:val="20"/>
              </w:rPr>
            </w:pPr>
            <w:r w:rsidRPr="00E154D6">
              <w:rPr>
                <w:sz w:val="20"/>
                <w:szCs w:val="20"/>
              </w:rPr>
              <w:t>+4°C</w:t>
            </w:r>
          </w:p>
        </w:tc>
        <w:tc>
          <w:tcPr>
            <w:tcW w:w="2303" w:type="dxa"/>
          </w:tcPr>
          <w:p w14:paraId="7FE21815" w14:textId="77777777" w:rsidR="0072475C" w:rsidRPr="00E154D6" w:rsidRDefault="0072475C" w:rsidP="00670DCB">
            <w:pPr>
              <w:rPr>
                <w:sz w:val="20"/>
                <w:szCs w:val="20"/>
              </w:rPr>
            </w:pPr>
            <w:r w:rsidRPr="00E154D6">
              <w:rPr>
                <w:sz w:val="20"/>
                <w:szCs w:val="20"/>
              </w:rPr>
              <w:t>+20°C</w:t>
            </w:r>
          </w:p>
        </w:tc>
      </w:tr>
      <w:tr w:rsidR="0072475C" w:rsidRPr="002C084F" w14:paraId="1F914A91" w14:textId="77777777" w:rsidTr="00670DCB">
        <w:tc>
          <w:tcPr>
            <w:tcW w:w="2303" w:type="dxa"/>
          </w:tcPr>
          <w:p w14:paraId="13F2AD0A" w14:textId="77777777" w:rsidR="0072475C" w:rsidRPr="00E154D6" w:rsidRDefault="0072475C" w:rsidP="00670DCB">
            <w:pPr>
              <w:rPr>
                <w:sz w:val="20"/>
                <w:szCs w:val="20"/>
              </w:rPr>
            </w:pPr>
            <w:r w:rsidRPr="00E154D6">
              <w:rPr>
                <w:sz w:val="20"/>
                <w:szCs w:val="20"/>
              </w:rPr>
              <w:t>Dark</w:t>
            </w:r>
          </w:p>
        </w:tc>
        <w:tc>
          <w:tcPr>
            <w:tcW w:w="2303" w:type="dxa"/>
          </w:tcPr>
          <w:p w14:paraId="5FE518C5" w14:textId="77777777" w:rsidR="0072475C" w:rsidRPr="00E154D6" w:rsidRDefault="0072475C" w:rsidP="00670DCB">
            <w:pPr>
              <w:rPr>
                <w:sz w:val="20"/>
                <w:szCs w:val="20"/>
              </w:rPr>
            </w:pPr>
            <w:r w:rsidRPr="00E154D6">
              <w:rPr>
                <w:sz w:val="20"/>
                <w:szCs w:val="20"/>
              </w:rPr>
              <w:t>10 aliquots</w:t>
            </w:r>
          </w:p>
        </w:tc>
        <w:tc>
          <w:tcPr>
            <w:tcW w:w="2303" w:type="dxa"/>
          </w:tcPr>
          <w:p w14:paraId="72F429FC" w14:textId="77777777" w:rsidR="0072475C" w:rsidRPr="00E154D6" w:rsidRDefault="0072475C" w:rsidP="00670DCB">
            <w:pPr>
              <w:rPr>
                <w:sz w:val="20"/>
                <w:szCs w:val="20"/>
              </w:rPr>
            </w:pPr>
            <w:r w:rsidRPr="00E154D6">
              <w:rPr>
                <w:sz w:val="20"/>
                <w:szCs w:val="20"/>
              </w:rPr>
              <w:t>10 aliquots</w:t>
            </w:r>
          </w:p>
        </w:tc>
        <w:tc>
          <w:tcPr>
            <w:tcW w:w="2303" w:type="dxa"/>
          </w:tcPr>
          <w:p w14:paraId="1BFBA262" w14:textId="77777777" w:rsidR="0072475C" w:rsidRPr="00E154D6" w:rsidRDefault="0072475C" w:rsidP="00670DCB">
            <w:pPr>
              <w:rPr>
                <w:sz w:val="20"/>
                <w:szCs w:val="20"/>
              </w:rPr>
            </w:pPr>
            <w:r w:rsidRPr="00E154D6">
              <w:rPr>
                <w:sz w:val="20"/>
                <w:szCs w:val="20"/>
              </w:rPr>
              <w:t>10 aliquots</w:t>
            </w:r>
          </w:p>
        </w:tc>
      </w:tr>
      <w:tr w:rsidR="0072475C" w:rsidRPr="002C084F" w14:paraId="3F2B3BAE" w14:textId="77777777" w:rsidTr="00670DCB">
        <w:tc>
          <w:tcPr>
            <w:tcW w:w="2303" w:type="dxa"/>
          </w:tcPr>
          <w:p w14:paraId="23E662A9" w14:textId="77777777" w:rsidR="0072475C" w:rsidRPr="00E154D6" w:rsidRDefault="0072475C" w:rsidP="00670DCB">
            <w:pPr>
              <w:rPr>
                <w:sz w:val="20"/>
                <w:szCs w:val="20"/>
              </w:rPr>
            </w:pPr>
            <w:r w:rsidRPr="00E154D6">
              <w:rPr>
                <w:sz w:val="20"/>
                <w:szCs w:val="20"/>
              </w:rPr>
              <w:t>Light</w:t>
            </w:r>
          </w:p>
        </w:tc>
        <w:tc>
          <w:tcPr>
            <w:tcW w:w="2303" w:type="dxa"/>
          </w:tcPr>
          <w:p w14:paraId="5863B9E5" w14:textId="77777777" w:rsidR="0072475C" w:rsidRPr="00E154D6" w:rsidRDefault="0072475C" w:rsidP="00670DCB">
            <w:pPr>
              <w:rPr>
                <w:sz w:val="20"/>
                <w:szCs w:val="20"/>
              </w:rPr>
            </w:pPr>
          </w:p>
        </w:tc>
        <w:tc>
          <w:tcPr>
            <w:tcW w:w="2303" w:type="dxa"/>
          </w:tcPr>
          <w:p w14:paraId="04DF717E" w14:textId="77777777" w:rsidR="0072475C" w:rsidRPr="00E154D6" w:rsidRDefault="0072475C" w:rsidP="00670DCB">
            <w:pPr>
              <w:rPr>
                <w:sz w:val="20"/>
                <w:szCs w:val="20"/>
              </w:rPr>
            </w:pPr>
          </w:p>
        </w:tc>
        <w:tc>
          <w:tcPr>
            <w:tcW w:w="2303" w:type="dxa"/>
          </w:tcPr>
          <w:p w14:paraId="0B11A673" w14:textId="77777777" w:rsidR="0072475C" w:rsidRPr="00E154D6" w:rsidRDefault="0072475C" w:rsidP="00670DCB">
            <w:pPr>
              <w:rPr>
                <w:sz w:val="20"/>
                <w:szCs w:val="20"/>
              </w:rPr>
            </w:pPr>
            <w:r w:rsidRPr="00E154D6">
              <w:rPr>
                <w:sz w:val="20"/>
                <w:szCs w:val="20"/>
              </w:rPr>
              <w:t>10 aliquots</w:t>
            </w:r>
          </w:p>
        </w:tc>
      </w:tr>
    </w:tbl>
    <w:p w14:paraId="22D5D768" w14:textId="3EFA9971" w:rsidR="00A73D5E" w:rsidRPr="00EC3B28" w:rsidRDefault="00A73D5E" w:rsidP="00A73D5E">
      <w:pPr>
        <w:spacing w:after="0"/>
        <w:rPr>
          <w:rFonts w:eastAsiaTheme="minorEastAsia"/>
          <w:sz w:val="20"/>
          <w:szCs w:val="20"/>
        </w:rPr>
      </w:pPr>
    </w:p>
    <w:p w14:paraId="00B585C1" w14:textId="3A9B305D" w:rsidR="00A73D5E" w:rsidRPr="00EC3B28" w:rsidRDefault="00A73D5E" w:rsidP="00A73D5E">
      <w:pPr>
        <w:pStyle w:val="Heading2"/>
        <w:rPr>
          <w:rFonts w:ascii="Times New Roman" w:hAnsi="Times New Roman" w:cs="Times New Roman"/>
          <w:color w:val="000000" w:themeColor="text1"/>
          <w:sz w:val="20"/>
          <w:szCs w:val="20"/>
        </w:rPr>
      </w:pPr>
      <w:bookmarkStart w:id="60" w:name="_Toc535221054"/>
      <w:bookmarkStart w:id="61" w:name="_Toc5193408"/>
      <w:bookmarkEnd w:id="59"/>
      <w:r w:rsidRPr="00EC3B28">
        <w:rPr>
          <w:rFonts w:ascii="Times New Roman" w:hAnsi="Times New Roman" w:cs="Times New Roman"/>
          <w:color w:val="000000" w:themeColor="text1"/>
          <w:sz w:val="20"/>
          <w:szCs w:val="20"/>
        </w:rPr>
        <w:t>2</w:t>
      </w:r>
      <w:r w:rsidR="00E154D6">
        <w:rPr>
          <w:rFonts w:ascii="Times New Roman" w:hAnsi="Times New Roman" w:cs="Times New Roman"/>
          <w:color w:val="000000" w:themeColor="text1"/>
          <w:sz w:val="20"/>
          <w:szCs w:val="20"/>
        </w:rPr>
        <w:t>.6</w:t>
      </w:r>
      <w:r w:rsidRPr="00EC3B28">
        <w:rPr>
          <w:rFonts w:ascii="Times New Roman" w:hAnsi="Times New Roman" w:cs="Times New Roman"/>
          <w:color w:val="000000" w:themeColor="text1"/>
          <w:sz w:val="20"/>
          <w:szCs w:val="20"/>
        </w:rPr>
        <w:t xml:space="preserve"> Decision limit</w:t>
      </w:r>
      <w:bookmarkEnd w:id="60"/>
      <w:r w:rsidRPr="00EC3B28">
        <w:rPr>
          <w:rFonts w:ascii="Times New Roman" w:hAnsi="Times New Roman" w:cs="Times New Roman"/>
          <w:color w:val="000000" w:themeColor="text1"/>
          <w:sz w:val="20"/>
          <w:szCs w:val="20"/>
        </w:rPr>
        <w:t xml:space="preserve"> (CCα)</w:t>
      </w:r>
      <w:bookmarkEnd w:id="61"/>
    </w:p>
    <w:p w14:paraId="4ED8EFD7" w14:textId="412AEDDC" w:rsidR="00A73D5E" w:rsidRPr="00EC3B28" w:rsidRDefault="00A73D5E" w:rsidP="00A73D5E">
      <w:pPr>
        <w:rPr>
          <w:rFonts w:eastAsia="Arial"/>
          <w:sz w:val="20"/>
          <w:szCs w:val="20"/>
        </w:rPr>
      </w:pPr>
      <w:r w:rsidRPr="00EC3B28">
        <w:rPr>
          <w:rFonts w:eastAsia="Arial"/>
          <w:sz w:val="20"/>
          <w:szCs w:val="20"/>
        </w:rPr>
        <w:t xml:space="preserve">The CCα shall be determined for confirmatory methods. It shall be established under conditions complying with the requirements for identification or identification plus quantification as defined under "Performance criteria and other requirements for analytical methods" as laid down in Chapter 1 </w:t>
      </w:r>
      <w:r w:rsidR="00C625BD">
        <w:rPr>
          <w:rFonts w:eastAsia="Arial"/>
          <w:sz w:val="20"/>
          <w:szCs w:val="20"/>
        </w:rPr>
        <w:t xml:space="preserve">of </w:t>
      </w:r>
      <w:r w:rsidRPr="00EC3B28">
        <w:rPr>
          <w:rFonts w:eastAsia="Arial"/>
          <w:sz w:val="20"/>
          <w:szCs w:val="20"/>
        </w:rPr>
        <w:t>this Annex.</w:t>
      </w:r>
    </w:p>
    <w:p w14:paraId="7375E3D2" w14:textId="02EA0A5F" w:rsidR="00A73D5E" w:rsidRPr="00EC3B28" w:rsidRDefault="00A73D5E" w:rsidP="00A73D5E">
      <w:pPr>
        <w:rPr>
          <w:rFonts w:eastAsia="Arial"/>
          <w:sz w:val="20"/>
          <w:szCs w:val="20"/>
        </w:rPr>
      </w:pPr>
      <w:r w:rsidRPr="00EC3B28">
        <w:rPr>
          <w:rFonts w:eastAsia="Arial"/>
          <w:sz w:val="20"/>
          <w:szCs w:val="20"/>
        </w:rPr>
        <w:t xml:space="preserve">For </w:t>
      </w:r>
      <w:r w:rsidRPr="00EC3B28">
        <w:rPr>
          <w:rFonts w:eastAsia="Arial"/>
          <w:sz w:val="20"/>
          <w:szCs w:val="20"/>
          <w:u w:val="single"/>
        </w:rPr>
        <w:t>unauthorised</w:t>
      </w:r>
      <w:r w:rsidRPr="00EC3B28">
        <w:rPr>
          <w:sz w:val="20"/>
          <w:szCs w:val="20"/>
          <w:u w:val="single"/>
        </w:rPr>
        <w:t xml:space="preserve"> or </w:t>
      </w:r>
      <w:r w:rsidRPr="00EC3B28">
        <w:rPr>
          <w:rFonts w:eastAsia="Arial"/>
          <w:sz w:val="20"/>
          <w:szCs w:val="20"/>
          <w:u w:val="single"/>
        </w:rPr>
        <w:t xml:space="preserve">prohibited pharmacologically active </w:t>
      </w:r>
      <w:r w:rsidR="00B265E2" w:rsidRPr="00EC3B28">
        <w:rPr>
          <w:rFonts w:eastAsia="Arial"/>
          <w:sz w:val="20"/>
          <w:szCs w:val="20"/>
          <w:u w:val="single"/>
        </w:rPr>
        <w:t>substances,</w:t>
      </w:r>
      <w:r w:rsidRPr="00EC3B28">
        <w:rPr>
          <w:rFonts w:eastAsia="Arial"/>
          <w:sz w:val="20"/>
          <w:szCs w:val="20"/>
        </w:rPr>
        <w:t xml:space="preserve"> a maximum α-error of 1% shall be ensured. The CCα shall be calculated as follows:</w:t>
      </w:r>
    </w:p>
    <w:p w14:paraId="0CB1D6FE" w14:textId="7A1B0652" w:rsidR="00A73D5E" w:rsidRPr="00EC3B28" w:rsidRDefault="00A73D5E" w:rsidP="00A73D5E">
      <w:pPr>
        <w:rPr>
          <w:rFonts w:eastAsia="Arial"/>
          <w:sz w:val="20"/>
          <w:szCs w:val="20"/>
        </w:rPr>
      </w:pPr>
      <w:r w:rsidRPr="00EC3B28">
        <w:rPr>
          <w:rFonts w:eastAsia="Arial"/>
          <w:sz w:val="20"/>
          <w:szCs w:val="20"/>
        </w:rPr>
        <w:t>-</w:t>
      </w:r>
      <w:r w:rsidR="00C64494">
        <w:rPr>
          <w:rFonts w:eastAsia="Arial"/>
          <w:sz w:val="20"/>
          <w:szCs w:val="20"/>
        </w:rPr>
        <w:t xml:space="preserve"> M</w:t>
      </w:r>
      <w:r w:rsidRPr="00EC3B28">
        <w:rPr>
          <w:rFonts w:eastAsia="Arial"/>
          <w:sz w:val="20"/>
          <w:szCs w:val="20"/>
        </w:rPr>
        <w:t>ethod 1: by the calibration curve procedure according to ISO 11843</w:t>
      </w:r>
      <w:bookmarkStart w:id="62" w:name="_Ref6915470"/>
      <w:r w:rsidR="004F463F">
        <w:rPr>
          <w:rStyle w:val="FootnoteReference"/>
          <w:rFonts w:eastAsia="Arial"/>
          <w:sz w:val="20"/>
          <w:szCs w:val="20"/>
        </w:rPr>
        <w:footnoteReference w:id="11"/>
      </w:r>
      <w:bookmarkEnd w:id="62"/>
      <w:r w:rsidR="00EE3B26">
        <w:rPr>
          <w:rStyle w:val="FootnoteReference"/>
          <w:rFonts w:eastAsia="Arial"/>
          <w:sz w:val="20"/>
          <w:szCs w:val="20"/>
        </w:rPr>
        <w:footnoteReference w:id="12"/>
      </w:r>
      <w:r w:rsidRPr="00EC3B28">
        <w:rPr>
          <w:rFonts w:eastAsia="Arial"/>
          <w:sz w:val="20"/>
          <w:szCs w:val="20"/>
        </w:rPr>
        <w:t xml:space="preserve"> (here referred to as critical value of the net state variable). In this case blank material shall be used, which is fortified at and above the RPA or LCL in equidistant steps and where possible also below the RPA or LCL. Analyse the samples. After identification, plot the signal against the added concentration. The corresponding concentration at the y-intercept plus 2</w:t>
      </w:r>
      <w:r w:rsidR="00840927">
        <w:rPr>
          <w:rFonts w:eastAsia="Arial"/>
          <w:sz w:val="20"/>
          <w:szCs w:val="20"/>
        </w:rPr>
        <w:t>.</w:t>
      </w:r>
      <w:r w:rsidRPr="00EC3B28">
        <w:rPr>
          <w:rFonts w:eastAsia="Arial"/>
          <w:sz w:val="20"/>
          <w:szCs w:val="20"/>
        </w:rPr>
        <w:t>33 times the standard deviation of the within-laboratory reproducibility of the intercept equals the decision limit. This is applicable to quantitative assays only, or,</w:t>
      </w:r>
    </w:p>
    <w:p w14:paraId="1D9190BD" w14:textId="1A7D7BBF" w:rsidR="00A73D5E" w:rsidRPr="00EC3B28" w:rsidRDefault="00A73D5E" w:rsidP="00A73D5E">
      <w:pPr>
        <w:rPr>
          <w:rFonts w:eastAsia="Arial"/>
          <w:sz w:val="20"/>
          <w:szCs w:val="20"/>
        </w:rPr>
      </w:pPr>
      <w:r w:rsidRPr="00EC3B28">
        <w:rPr>
          <w:rFonts w:eastAsia="Arial"/>
          <w:sz w:val="20"/>
          <w:szCs w:val="20"/>
        </w:rPr>
        <w:t>-</w:t>
      </w:r>
      <w:r w:rsidR="00C64494">
        <w:rPr>
          <w:rFonts w:eastAsia="Arial"/>
          <w:sz w:val="20"/>
          <w:szCs w:val="20"/>
        </w:rPr>
        <w:t xml:space="preserve"> M</w:t>
      </w:r>
      <w:r w:rsidRPr="00EC3B28">
        <w:rPr>
          <w:rFonts w:eastAsia="Arial"/>
          <w:sz w:val="20"/>
          <w:szCs w:val="20"/>
        </w:rPr>
        <w:t xml:space="preserve">ethod 2: by analysing at least 20 </w:t>
      </w:r>
      <w:r w:rsidR="00EE3B26" w:rsidRPr="00840927">
        <w:rPr>
          <w:rFonts w:eastAsia="Arial"/>
          <w:sz w:val="20"/>
          <w:szCs w:val="20"/>
        </w:rPr>
        <w:t>representative</w:t>
      </w:r>
      <w:r w:rsidR="00EE3B26">
        <w:rPr>
          <w:rFonts w:eastAsia="Arial"/>
          <w:sz w:val="20"/>
          <w:szCs w:val="20"/>
        </w:rPr>
        <w:t xml:space="preserve"> </w:t>
      </w:r>
      <w:r w:rsidRPr="00EC3B28">
        <w:rPr>
          <w:rFonts w:eastAsia="Arial"/>
          <w:sz w:val="20"/>
          <w:szCs w:val="20"/>
        </w:rPr>
        <w:t>blank materials per matrix to be able to calculate the signal to noise ratio at the time window in which the analyte is expected. Three times the signal</w:t>
      </w:r>
      <w:r w:rsidR="00DF5DC6">
        <w:rPr>
          <w:rFonts w:eastAsia="Arial"/>
          <w:sz w:val="20"/>
          <w:szCs w:val="20"/>
        </w:rPr>
        <w:t>-</w:t>
      </w:r>
      <w:r w:rsidRPr="00EC3B28">
        <w:rPr>
          <w:rFonts w:eastAsia="Arial"/>
          <w:sz w:val="20"/>
          <w:szCs w:val="20"/>
        </w:rPr>
        <w:t>to</w:t>
      </w:r>
      <w:r w:rsidR="00DF5DC6">
        <w:rPr>
          <w:rFonts w:eastAsia="Arial"/>
          <w:sz w:val="20"/>
          <w:szCs w:val="20"/>
        </w:rPr>
        <w:t>-</w:t>
      </w:r>
      <w:r w:rsidRPr="00EC3B28">
        <w:rPr>
          <w:rFonts w:eastAsia="Arial"/>
          <w:sz w:val="20"/>
          <w:szCs w:val="20"/>
        </w:rPr>
        <w:t>noise ratio can be used as the decision limit. This is applicable to quantitative and qualitative assays.</w:t>
      </w:r>
    </w:p>
    <w:p w14:paraId="746A5A8E" w14:textId="026D8F73" w:rsidR="00A73D5E" w:rsidRPr="00EC3B28" w:rsidRDefault="00A73D5E" w:rsidP="00A73D5E">
      <w:pPr>
        <w:rPr>
          <w:rFonts w:eastAsia="Arial"/>
          <w:sz w:val="20"/>
          <w:szCs w:val="20"/>
        </w:rPr>
      </w:pPr>
      <w:r w:rsidRPr="00EC3B28">
        <w:rPr>
          <w:rFonts w:eastAsia="Arial"/>
          <w:sz w:val="20"/>
          <w:szCs w:val="20"/>
        </w:rPr>
        <w:t>-</w:t>
      </w:r>
      <w:r w:rsidR="00C64494">
        <w:rPr>
          <w:rFonts w:eastAsia="Arial"/>
          <w:sz w:val="20"/>
          <w:szCs w:val="20"/>
        </w:rPr>
        <w:t xml:space="preserve"> M</w:t>
      </w:r>
      <w:r w:rsidR="0092680A">
        <w:rPr>
          <w:rFonts w:eastAsia="Arial"/>
          <w:sz w:val="20"/>
          <w:szCs w:val="20"/>
        </w:rPr>
        <w:t>ethod 3: CCα</w:t>
      </w:r>
      <w:r w:rsidRPr="0092680A">
        <w:rPr>
          <w:rFonts w:eastAsia="Arial"/>
          <w:sz w:val="20"/>
          <w:szCs w:val="20"/>
          <w:vertAlign w:val="subscript"/>
        </w:rPr>
        <w:t>confirmation</w:t>
      </w:r>
      <w:r w:rsidRPr="00EC3B28">
        <w:rPr>
          <w:rFonts w:eastAsia="Arial"/>
          <w:sz w:val="20"/>
          <w:szCs w:val="20"/>
        </w:rPr>
        <w:t xml:space="preserve"> = LCL + k(one sided, 99%) </w:t>
      </w:r>
      <w:r w:rsidR="0016136E">
        <w:rPr>
          <w:rFonts w:eastAsia="Arial"/>
          <w:sz w:val="20"/>
          <w:szCs w:val="20"/>
        </w:rPr>
        <w:t>×</w:t>
      </w:r>
      <w:r w:rsidRPr="00EC3B28">
        <w:rPr>
          <w:rFonts w:eastAsia="Arial"/>
          <w:sz w:val="20"/>
          <w:szCs w:val="20"/>
        </w:rPr>
        <w:t xml:space="preserve"> measurement uncertainty at LCL</w:t>
      </w:r>
    </w:p>
    <w:p w14:paraId="2F20E6C2" w14:textId="4B0B897D" w:rsidR="00A73D5E" w:rsidRPr="00EC3B28" w:rsidRDefault="00A73D5E" w:rsidP="00A73D5E">
      <w:pPr>
        <w:rPr>
          <w:rFonts w:eastAsia="Arial"/>
          <w:sz w:val="20"/>
          <w:szCs w:val="20"/>
        </w:rPr>
      </w:pPr>
      <w:r w:rsidRPr="00EC3B28">
        <w:rPr>
          <w:rFonts w:eastAsia="Arial"/>
          <w:sz w:val="20"/>
          <w:szCs w:val="20"/>
        </w:rPr>
        <w:t xml:space="preserve">For prohibited or unauthorised pharmacologically active substances, </w:t>
      </w:r>
      <w:r w:rsidR="00FD7106">
        <w:rPr>
          <w:rFonts w:eastAsia="Arial"/>
          <w:sz w:val="20"/>
          <w:szCs w:val="20"/>
        </w:rPr>
        <w:t>d</w:t>
      </w:r>
      <w:r w:rsidR="00FD7106" w:rsidRPr="00FD7106">
        <w:rPr>
          <w:rFonts w:eastAsia="Arial"/>
          <w:sz w:val="20"/>
          <w:szCs w:val="20"/>
        </w:rPr>
        <w:t>epending on the validation experiment (and its respective degrees of freedom) the t-distribution might be reasonably applied, or - if the Gaussian distribution (one-sid</w:t>
      </w:r>
      <w:r w:rsidR="00FD7106">
        <w:rPr>
          <w:rFonts w:eastAsia="Arial"/>
          <w:sz w:val="20"/>
          <w:szCs w:val="20"/>
        </w:rPr>
        <w:t xml:space="preserve">ed, n=∞) is taken as a basis - </w:t>
      </w:r>
      <w:r w:rsidRPr="00EC3B28">
        <w:rPr>
          <w:rFonts w:eastAsia="Arial"/>
          <w:sz w:val="20"/>
          <w:szCs w:val="20"/>
        </w:rPr>
        <w:t xml:space="preserve">a k-factor of 2.33 shall be used. </w:t>
      </w:r>
    </w:p>
    <w:p w14:paraId="22C547D6" w14:textId="77777777" w:rsidR="00C625BD" w:rsidRPr="00EC3B28" w:rsidRDefault="00C625BD" w:rsidP="00A73D5E">
      <w:pPr>
        <w:rPr>
          <w:rFonts w:eastAsia="Arial"/>
          <w:sz w:val="20"/>
          <w:szCs w:val="20"/>
        </w:rPr>
      </w:pPr>
    </w:p>
    <w:p w14:paraId="3FD92356" w14:textId="55B7C2D1" w:rsidR="00063840" w:rsidRDefault="00A73D5E" w:rsidP="00A73D5E">
      <w:pPr>
        <w:rPr>
          <w:rFonts w:eastAsia="Arial"/>
          <w:sz w:val="20"/>
          <w:szCs w:val="20"/>
        </w:rPr>
      </w:pPr>
      <w:r w:rsidRPr="00EC3B28">
        <w:rPr>
          <w:rFonts w:eastAsia="Arial"/>
          <w:sz w:val="20"/>
          <w:szCs w:val="20"/>
        </w:rPr>
        <w:t xml:space="preserve">For </w:t>
      </w:r>
      <w:r w:rsidRPr="00EC3B28">
        <w:rPr>
          <w:rFonts w:eastAsia="Arial"/>
          <w:sz w:val="20"/>
          <w:szCs w:val="20"/>
          <w:u w:val="single"/>
        </w:rPr>
        <w:t>authorised</w:t>
      </w:r>
      <w:r w:rsidRPr="00EC3B28">
        <w:rPr>
          <w:rFonts w:eastAsia="Arial"/>
          <w:sz w:val="20"/>
          <w:szCs w:val="20"/>
        </w:rPr>
        <w:t xml:space="preserve"> pharmacologically active </w:t>
      </w:r>
      <w:r w:rsidR="00B265E2" w:rsidRPr="00EC3B28">
        <w:rPr>
          <w:rFonts w:eastAsia="Arial"/>
          <w:sz w:val="20"/>
          <w:szCs w:val="20"/>
        </w:rPr>
        <w:t>substances,</w:t>
      </w:r>
      <w:r w:rsidRPr="00EC3B28">
        <w:rPr>
          <w:rFonts w:eastAsia="Arial"/>
          <w:sz w:val="20"/>
          <w:szCs w:val="20"/>
        </w:rPr>
        <w:t xml:space="preserve"> a maximum α-error of 5% shall be ensured. The CCα shall be calculated </w:t>
      </w:r>
      <w:r w:rsidR="00063840">
        <w:rPr>
          <w:rFonts w:eastAsia="Arial"/>
          <w:sz w:val="20"/>
          <w:szCs w:val="20"/>
        </w:rPr>
        <w:t>as follows:</w:t>
      </w:r>
    </w:p>
    <w:p w14:paraId="2804DA5F" w14:textId="4DF6D002" w:rsidR="00063840" w:rsidRPr="00063840" w:rsidRDefault="00063840" w:rsidP="00063840">
      <w:pPr>
        <w:rPr>
          <w:rFonts w:eastAsia="Arial"/>
          <w:sz w:val="20"/>
          <w:szCs w:val="20"/>
        </w:rPr>
      </w:pPr>
      <w:r w:rsidRPr="00063840">
        <w:rPr>
          <w:rFonts w:eastAsia="Arial"/>
          <w:sz w:val="20"/>
          <w:szCs w:val="20"/>
        </w:rPr>
        <w:t>- Method 1: by the calibration curve procedure according to ISO 11843</w:t>
      </w:r>
      <w:r w:rsidRPr="00B4648C">
        <w:rPr>
          <w:rFonts w:eastAsia="Arial"/>
          <w:sz w:val="20"/>
          <w:szCs w:val="20"/>
          <w:vertAlign w:val="superscript"/>
        </w:rPr>
        <w:t xml:space="preserve">14,15 </w:t>
      </w:r>
      <w:r w:rsidRPr="00063840">
        <w:rPr>
          <w:rFonts w:eastAsia="Arial"/>
          <w:sz w:val="20"/>
          <w:szCs w:val="20"/>
        </w:rPr>
        <w:t>(here referred to as critical value of the net state variable). In this case blank material shall be used, which is fortified at and above the RPA or LCL in equidistant steps and where possible also below the RPA or LCL. Analyse the samples. After identification, plot the signal against the added concentration. The corresponding concentration at the y-intercept plus 1.64 times the standard deviation of the within-laboratory reproducibility of the intercept equa</w:t>
      </w:r>
      <w:r>
        <w:rPr>
          <w:rFonts w:eastAsia="Arial"/>
          <w:sz w:val="20"/>
          <w:szCs w:val="20"/>
        </w:rPr>
        <w:t>ls the decision limit (α = 5 %), or</w:t>
      </w:r>
    </w:p>
    <w:p w14:paraId="0704C2F0" w14:textId="4A1EC18F" w:rsidR="00A73D5E" w:rsidRPr="00EC3B28" w:rsidRDefault="00063840" w:rsidP="00B4648C">
      <w:pPr>
        <w:rPr>
          <w:rFonts w:eastAsia="Arial"/>
          <w:color w:val="FF0000"/>
          <w:sz w:val="20"/>
          <w:szCs w:val="20"/>
        </w:rPr>
      </w:pPr>
      <w:r>
        <w:rPr>
          <w:rFonts w:eastAsia="Arial"/>
          <w:sz w:val="20"/>
          <w:szCs w:val="20"/>
        </w:rPr>
        <w:t xml:space="preserve">- Method 2: </w:t>
      </w:r>
      <w:r w:rsidR="00A73D5E" w:rsidRPr="00EC3B28">
        <w:rPr>
          <w:rFonts w:eastAsia="Arial"/>
          <w:sz w:val="20"/>
          <w:szCs w:val="20"/>
        </w:rPr>
        <w:t>CCα</w:t>
      </w:r>
      <w:r w:rsidR="00A73D5E" w:rsidRPr="00EC3B28">
        <w:rPr>
          <w:rFonts w:eastAsia="Arial"/>
          <w:sz w:val="20"/>
          <w:szCs w:val="20"/>
          <w:vertAlign w:val="subscript"/>
        </w:rPr>
        <w:t>confirmation</w:t>
      </w:r>
      <w:r w:rsidR="00A73D5E" w:rsidRPr="00EC3B28">
        <w:rPr>
          <w:rFonts w:eastAsia="Arial"/>
          <w:sz w:val="20"/>
          <w:szCs w:val="20"/>
        </w:rPr>
        <w:t xml:space="preserve"> = MRL + k(one sided, 95%) </w:t>
      </w:r>
      <w:r w:rsidR="0016136E">
        <w:rPr>
          <w:rFonts w:eastAsia="Arial"/>
          <w:sz w:val="20"/>
          <w:szCs w:val="20"/>
        </w:rPr>
        <w:t>×</w:t>
      </w:r>
      <w:r w:rsidR="00A73D5E" w:rsidRPr="00EC3B28">
        <w:rPr>
          <w:rFonts w:eastAsia="Arial"/>
          <w:sz w:val="20"/>
          <w:szCs w:val="20"/>
        </w:rPr>
        <w:t xml:space="preserve"> measurement uncertainty at the MRL or ML</w:t>
      </w:r>
    </w:p>
    <w:p w14:paraId="5CB72317" w14:textId="1CE22C04" w:rsidR="00A73D5E" w:rsidRPr="00EC3B28" w:rsidRDefault="00A73D5E" w:rsidP="0092680A">
      <w:pPr>
        <w:rPr>
          <w:rFonts w:eastAsia="Arial"/>
          <w:sz w:val="20"/>
          <w:szCs w:val="20"/>
        </w:rPr>
      </w:pPr>
      <w:r w:rsidRPr="00EC3B28">
        <w:rPr>
          <w:rFonts w:eastAsia="Arial"/>
          <w:sz w:val="20"/>
          <w:szCs w:val="20"/>
        </w:rPr>
        <w:t xml:space="preserve">For authorised pharmacologically active substances, </w:t>
      </w:r>
      <w:r w:rsidR="00444CDF">
        <w:rPr>
          <w:rFonts w:eastAsia="Arial"/>
          <w:sz w:val="20"/>
          <w:szCs w:val="20"/>
        </w:rPr>
        <w:t>d</w:t>
      </w:r>
      <w:r w:rsidR="00444CDF" w:rsidRPr="00444CDF">
        <w:rPr>
          <w:rFonts w:eastAsia="Arial"/>
          <w:sz w:val="20"/>
          <w:szCs w:val="20"/>
        </w:rPr>
        <w:t>epending on the validation experiment (and its respective degrees of freedom) the t-distribution might be reasonably applied, or - if the Gaussian distribution (one-</w:t>
      </w:r>
      <w:r w:rsidR="00444CDF">
        <w:rPr>
          <w:rFonts w:eastAsia="Arial"/>
          <w:sz w:val="20"/>
          <w:szCs w:val="20"/>
        </w:rPr>
        <w:t xml:space="preserve">sided, n=∞) is taken as a basis, </w:t>
      </w:r>
      <w:r w:rsidRPr="00EC3B28">
        <w:rPr>
          <w:rFonts w:eastAsia="Arial"/>
          <w:sz w:val="20"/>
          <w:szCs w:val="20"/>
        </w:rPr>
        <w:t xml:space="preserve">a k-factor of 1.64 shall be used. </w:t>
      </w:r>
    </w:p>
    <w:p w14:paraId="50A7F8D0" w14:textId="3C412F2E" w:rsidR="00A73D5E" w:rsidRPr="00EC3B28" w:rsidRDefault="00A73D5E" w:rsidP="00536003">
      <w:pPr>
        <w:rPr>
          <w:rFonts w:eastAsia="Arial"/>
          <w:sz w:val="20"/>
          <w:szCs w:val="20"/>
        </w:rPr>
      </w:pPr>
      <w:r w:rsidRPr="00EC3B28">
        <w:rPr>
          <w:rFonts w:eastAsia="Arial"/>
          <w:sz w:val="20"/>
          <w:szCs w:val="20"/>
        </w:rPr>
        <w:t xml:space="preserve">The within-laboratory reproducibility is a good estimator for the measurement uncertainty, if determined by taking into account all relevant influencing factors. </w:t>
      </w:r>
    </w:p>
    <w:p w14:paraId="556306A2" w14:textId="04C5A400" w:rsidR="005B5945" w:rsidRPr="0092680A" w:rsidRDefault="00A73D5E" w:rsidP="00655DA9">
      <w:pPr>
        <w:rPr>
          <w:rFonts w:eastAsia="Arial"/>
          <w:sz w:val="20"/>
          <w:szCs w:val="20"/>
        </w:rPr>
      </w:pPr>
      <w:r w:rsidRPr="00EC3B28">
        <w:rPr>
          <w:rFonts w:eastAsia="Arial"/>
          <w:sz w:val="20"/>
          <w:szCs w:val="20"/>
        </w:rPr>
        <w:t xml:space="preserve">For the control of the compliance of samples, the expanded measurement uncertainty has already been taken into account in the CCα value (decision limit), by means of the multiplication of the measurement uncertainty with a factor k. </w:t>
      </w:r>
    </w:p>
    <w:p w14:paraId="57012139" w14:textId="7F9511DA" w:rsidR="00A73D5E" w:rsidRPr="00EC3B28" w:rsidRDefault="00A73D5E" w:rsidP="00A73D5E">
      <w:pPr>
        <w:rPr>
          <w:rFonts w:eastAsia="Arial"/>
          <w:sz w:val="20"/>
          <w:szCs w:val="20"/>
        </w:rPr>
      </w:pPr>
      <w:r w:rsidRPr="00EC3B28">
        <w:rPr>
          <w:rFonts w:eastAsia="Arial"/>
          <w:sz w:val="20"/>
          <w:szCs w:val="20"/>
        </w:rPr>
        <w:t>Therefore all concentration</w:t>
      </w:r>
      <w:r w:rsidR="002F3137">
        <w:rPr>
          <w:rFonts w:eastAsia="Arial"/>
          <w:sz w:val="20"/>
          <w:szCs w:val="20"/>
        </w:rPr>
        <w:t>s</w:t>
      </w:r>
      <w:r w:rsidRPr="00EC3B28">
        <w:rPr>
          <w:rFonts w:eastAsia="Arial"/>
          <w:sz w:val="20"/>
          <w:szCs w:val="20"/>
        </w:rPr>
        <w:t xml:space="preserve"> </w:t>
      </w:r>
      <w:r w:rsidR="00345D43">
        <w:rPr>
          <w:rFonts w:eastAsia="Arial"/>
          <w:sz w:val="20"/>
          <w:szCs w:val="20"/>
        </w:rPr>
        <w:t xml:space="preserve">at and </w:t>
      </w:r>
      <w:r w:rsidRPr="00EC3B28">
        <w:rPr>
          <w:rFonts w:eastAsia="Arial"/>
          <w:sz w:val="20"/>
          <w:szCs w:val="20"/>
        </w:rPr>
        <w:t>above the CCα shall be considered non-compliant.</w:t>
      </w:r>
    </w:p>
    <w:p w14:paraId="6164637E" w14:textId="1CE6689E" w:rsidR="00A73D5E" w:rsidRPr="00EC3B28" w:rsidRDefault="00A73D5E" w:rsidP="00A73D5E">
      <w:pPr>
        <w:rPr>
          <w:rFonts w:eastAsia="Arial"/>
          <w:sz w:val="20"/>
          <w:szCs w:val="20"/>
        </w:rPr>
      </w:pPr>
      <w:r w:rsidRPr="00EC3B28">
        <w:rPr>
          <w:rFonts w:eastAsia="Arial"/>
          <w:sz w:val="20"/>
          <w:szCs w:val="20"/>
        </w:rPr>
        <w:t xml:space="preserve">For pharmacologically active substances for which the MRL is </w:t>
      </w:r>
      <w:r w:rsidR="006C1F79">
        <w:rPr>
          <w:rFonts w:eastAsia="Arial"/>
          <w:sz w:val="20"/>
          <w:szCs w:val="20"/>
        </w:rPr>
        <w:t>established for the</w:t>
      </w:r>
      <w:r w:rsidR="00B4648C">
        <w:rPr>
          <w:rFonts w:eastAsia="Arial"/>
          <w:sz w:val="20"/>
          <w:szCs w:val="20"/>
        </w:rPr>
        <w:t xml:space="preserve"> </w:t>
      </w:r>
      <w:r w:rsidRPr="00EC3B28">
        <w:rPr>
          <w:rFonts w:eastAsia="Arial"/>
          <w:sz w:val="20"/>
          <w:szCs w:val="20"/>
        </w:rPr>
        <w:t xml:space="preserve">sum of different substances, the CCα of the substance with the highest concentration in the sample shall be used as the CCα </w:t>
      </w:r>
      <w:r w:rsidR="00F369CD">
        <w:rPr>
          <w:rFonts w:eastAsia="Arial"/>
          <w:sz w:val="20"/>
          <w:szCs w:val="20"/>
        </w:rPr>
        <w:t>to assess</w:t>
      </w:r>
      <w:r w:rsidRPr="00EC3B28">
        <w:rPr>
          <w:rFonts w:eastAsia="Arial"/>
          <w:sz w:val="20"/>
          <w:szCs w:val="20"/>
        </w:rPr>
        <w:t xml:space="preserve"> the sum of substances</w:t>
      </w:r>
      <w:r w:rsidR="00F369CD">
        <w:rPr>
          <w:rFonts w:eastAsia="Arial"/>
          <w:sz w:val="20"/>
          <w:szCs w:val="20"/>
        </w:rPr>
        <w:t xml:space="preserve"> in the measured sample</w:t>
      </w:r>
      <w:r w:rsidRPr="00EC3B28">
        <w:rPr>
          <w:rFonts w:eastAsia="Arial"/>
          <w:sz w:val="20"/>
          <w:szCs w:val="20"/>
        </w:rPr>
        <w:t>.</w:t>
      </w:r>
    </w:p>
    <w:p w14:paraId="6349C62B" w14:textId="6FA785C1" w:rsidR="00A73D5E" w:rsidRPr="00EC3B28" w:rsidRDefault="00A73D5E" w:rsidP="00A73D5E">
      <w:pPr>
        <w:pStyle w:val="Heading2"/>
        <w:rPr>
          <w:rFonts w:ascii="Times New Roman" w:hAnsi="Times New Roman" w:cs="Times New Roman"/>
          <w:color w:val="000000" w:themeColor="text1"/>
          <w:sz w:val="20"/>
          <w:szCs w:val="20"/>
        </w:rPr>
      </w:pPr>
      <w:bookmarkStart w:id="63" w:name="_Toc5193409"/>
      <w:r w:rsidRPr="00EC3B28">
        <w:rPr>
          <w:rFonts w:ascii="Times New Roman" w:hAnsi="Times New Roman" w:cs="Times New Roman"/>
          <w:color w:val="000000" w:themeColor="text1"/>
          <w:sz w:val="20"/>
          <w:szCs w:val="20"/>
        </w:rPr>
        <w:t>2.</w:t>
      </w:r>
      <w:r w:rsidR="00E154D6">
        <w:rPr>
          <w:rFonts w:ascii="Times New Roman" w:hAnsi="Times New Roman" w:cs="Times New Roman"/>
          <w:color w:val="000000" w:themeColor="text1"/>
          <w:sz w:val="20"/>
          <w:szCs w:val="20"/>
        </w:rPr>
        <w:t>7</w:t>
      </w:r>
      <w:r w:rsidRPr="00EC3B28">
        <w:rPr>
          <w:rFonts w:ascii="Times New Roman" w:hAnsi="Times New Roman" w:cs="Times New Roman"/>
          <w:color w:val="000000" w:themeColor="text1"/>
          <w:sz w:val="20"/>
          <w:szCs w:val="20"/>
        </w:rPr>
        <w:t xml:space="preserve"> Detection capability (CCβ)</w:t>
      </w:r>
      <w:bookmarkEnd w:id="63"/>
    </w:p>
    <w:p w14:paraId="204440F5" w14:textId="5821D110" w:rsidR="00A73D5E" w:rsidRPr="00EC3B28" w:rsidRDefault="00A73D5E" w:rsidP="00A73D5E">
      <w:pPr>
        <w:rPr>
          <w:rFonts w:eastAsia="Arial"/>
          <w:sz w:val="20"/>
          <w:szCs w:val="20"/>
        </w:rPr>
      </w:pPr>
      <w:r w:rsidRPr="00EC3B28">
        <w:rPr>
          <w:rFonts w:eastAsia="Arial"/>
          <w:sz w:val="20"/>
          <w:szCs w:val="20"/>
        </w:rPr>
        <w:t>The CCβ shall be determined for screening methods. The CCβ shall to be established as defined under "Performance criteria and other requirements for analytical methods" as laid down in Chapter 1 o</w:t>
      </w:r>
      <w:r w:rsidR="00F369CD">
        <w:rPr>
          <w:rFonts w:eastAsia="Arial"/>
          <w:sz w:val="20"/>
          <w:szCs w:val="20"/>
        </w:rPr>
        <w:t>f</w:t>
      </w:r>
      <w:r w:rsidRPr="00EC3B28">
        <w:rPr>
          <w:rFonts w:eastAsia="Arial"/>
          <w:sz w:val="20"/>
          <w:szCs w:val="20"/>
        </w:rPr>
        <w:t xml:space="preserve"> this Annex and according to the requirements laid down in table </w:t>
      </w:r>
      <w:r w:rsidR="009F30C7">
        <w:rPr>
          <w:rFonts w:eastAsia="Arial"/>
          <w:sz w:val="20"/>
          <w:szCs w:val="20"/>
        </w:rPr>
        <w:t xml:space="preserve">5. </w:t>
      </w:r>
      <w:r w:rsidR="006C1F79">
        <w:rPr>
          <w:rFonts w:eastAsia="Arial"/>
          <w:sz w:val="20"/>
          <w:szCs w:val="20"/>
        </w:rPr>
        <w:t>However</w:t>
      </w:r>
      <w:r w:rsidR="0092680A">
        <w:rPr>
          <w:rFonts w:eastAsia="Arial"/>
          <w:sz w:val="20"/>
          <w:szCs w:val="20"/>
        </w:rPr>
        <w:t>,</w:t>
      </w:r>
      <w:r w:rsidR="006C1F79">
        <w:rPr>
          <w:rFonts w:eastAsia="Arial"/>
          <w:sz w:val="20"/>
          <w:szCs w:val="20"/>
        </w:rPr>
        <w:t xml:space="preserve"> the </w:t>
      </w:r>
      <w:r w:rsidR="00325213">
        <w:rPr>
          <w:rFonts w:eastAsia="Arial"/>
          <w:sz w:val="20"/>
          <w:szCs w:val="20"/>
        </w:rPr>
        <w:t xml:space="preserve">full </w:t>
      </w:r>
      <w:r w:rsidR="006C1F79">
        <w:rPr>
          <w:rFonts w:eastAsia="Arial"/>
          <w:sz w:val="20"/>
          <w:szCs w:val="20"/>
        </w:rPr>
        <w:t>r</w:t>
      </w:r>
      <w:r w:rsidR="006C1F79" w:rsidRPr="006C1F79">
        <w:rPr>
          <w:rFonts w:eastAsia="Arial"/>
          <w:sz w:val="20"/>
          <w:szCs w:val="20"/>
        </w:rPr>
        <w:t xml:space="preserve">equirements for identification (cf 1.2.3, 1.2.4) </w:t>
      </w:r>
      <w:r w:rsidR="006C1F79">
        <w:rPr>
          <w:rFonts w:eastAsia="Arial"/>
          <w:sz w:val="20"/>
          <w:szCs w:val="20"/>
        </w:rPr>
        <w:t>do</w:t>
      </w:r>
      <w:r w:rsidR="00325213">
        <w:rPr>
          <w:rFonts w:eastAsia="Arial"/>
          <w:sz w:val="20"/>
          <w:szCs w:val="20"/>
        </w:rPr>
        <w:t xml:space="preserve"> </w:t>
      </w:r>
      <w:r w:rsidR="006C1F79">
        <w:rPr>
          <w:rFonts w:eastAsia="Arial"/>
          <w:sz w:val="20"/>
          <w:szCs w:val="20"/>
        </w:rPr>
        <w:t>n</w:t>
      </w:r>
      <w:r w:rsidR="00325213">
        <w:rPr>
          <w:rFonts w:eastAsia="Arial"/>
          <w:sz w:val="20"/>
          <w:szCs w:val="20"/>
        </w:rPr>
        <w:t>o</w:t>
      </w:r>
      <w:r w:rsidR="006C1F79">
        <w:rPr>
          <w:rFonts w:eastAsia="Arial"/>
          <w:sz w:val="20"/>
          <w:szCs w:val="20"/>
        </w:rPr>
        <w:t>t need</w:t>
      </w:r>
      <w:r w:rsidR="006C1F79" w:rsidRPr="006C1F79">
        <w:rPr>
          <w:rFonts w:eastAsia="Arial"/>
          <w:sz w:val="20"/>
          <w:szCs w:val="20"/>
        </w:rPr>
        <w:t xml:space="preserve"> to </w:t>
      </w:r>
      <w:r w:rsidR="006C1F79">
        <w:rPr>
          <w:rFonts w:eastAsia="Arial"/>
          <w:sz w:val="20"/>
          <w:szCs w:val="20"/>
        </w:rPr>
        <w:t xml:space="preserve">be </w:t>
      </w:r>
      <w:r w:rsidR="006C1F79" w:rsidRPr="006C1F79">
        <w:rPr>
          <w:rFonts w:eastAsia="Arial"/>
          <w:sz w:val="20"/>
          <w:szCs w:val="20"/>
        </w:rPr>
        <w:t>applied for screening methods</w:t>
      </w:r>
      <w:r w:rsidR="00325213">
        <w:rPr>
          <w:rFonts w:eastAsia="Arial"/>
          <w:sz w:val="20"/>
          <w:szCs w:val="20"/>
        </w:rPr>
        <w:t>.</w:t>
      </w:r>
    </w:p>
    <w:p w14:paraId="757CA89A" w14:textId="35878C1D" w:rsidR="00A73D5E" w:rsidRPr="00EC3B28" w:rsidRDefault="00A73D5E" w:rsidP="00A73D5E">
      <w:pPr>
        <w:rPr>
          <w:rFonts w:eastAsia="Arial"/>
          <w:sz w:val="20"/>
          <w:szCs w:val="20"/>
        </w:rPr>
      </w:pPr>
      <w:r w:rsidRPr="00EC3B28">
        <w:rPr>
          <w:rFonts w:eastAsia="Arial"/>
          <w:sz w:val="20"/>
          <w:szCs w:val="20"/>
        </w:rPr>
        <w:t xml:space="preserve">For </w:t>
      </w:r>
      <w:r w:rsidRPr="00EC3B28">
        <w:rPr>
          <w:rFonts w:eastAsia="Arial"/>
          <w:sz w:val="20"/>
          <w:szCs w:val="20"/>
          <w:u w:val="single"/>
        </w:rPr>
        <w:t xml:space="preserve">unauthorised or prohibited pharmacologically active </w:t>
      </w:r>
      <w:r w:rsidR="00B265E2" w:rsidRPr="00EC3B28">
        <w:rPr>
          <w:rFonts w:eastAsia="Arial"/>
          <w:sz w:val="20"/>
          <w:szCs w:val="20"/>
          <w:u w:val="single"/>
        </w:rPr>
        <w:t>substances,</w:t>
      </w:r>
      <w:r w:rsidRPr="00EC3B28">
        <w:rPr>
          <w:rFonts w:eastAsia="Arial"/>
          <w:sz w:val="20"/>
          <w:szCs w:val="20"/>
        </w:rPr>
        <w:t xml:space="preserve"> a maximum β-error of 5% shall be ensured. The CCβ shall be calculated as follows:</w:t>
      </w:r>
    </w:p>
    <w:p w14:paraId="4A5D2597" w14:textId="7A923089" w:rsidR="00A73D5E" w:rsidRPr="00EC3B28" w:rsidRDefault="00A73D5E" w:rsidP="00A73D5E">
      <w:pPr>
        <w:rPr>
          <w:rFonts w:eastAsia="Arial"/>
          <w:sz w:val="20"/>
          <w:szCs w:val="20"/>
        </w:rPr>
      </w:pPr>
      <w:r w:rsidRPr="00EC3B28">
        <w:rPr>
          <w:rFonts w:eastAsia="Arial"/>
          <w:sz w:val="20"/>
          <w:szCs w:val="20"/>
        </w:rPr>
        <w:t>-</w:t>
      </w:r>
      <w:r w:rsidR="00C64494">
        <w:rPr>
          <w:rFonts w:eastAsia="Arial"/>
          <w:sz w:val="20"/>
          <w:szCs w:val="20"/>
        </w:rPr>
        <w:t xml:space="preserve"> </w:t>
      </w:r>
      <w:r w:rsidRPr="00EC3B28">
        <w:rPr>
          <w:rFonts w:eastAsia="Arial"/>
          <w:sz w:val="20"/>
          <w:szCs w:val="20"/>
        </w:rPr>
        <w:t>Method 1: The calibration curve proc</w:t>
      </w:r>
      <w:r w:rsidR="00161E60">
        <w:rPr>
          <w:rFonts w:eastAsia="Arial"/>
          <w:sz w:val="20"/>
          <w:szCs w:val="20"/>
        </w:rPr>
        <w:t>edure according to ISO 11843</w:t>
      </w:r>
      <w:r w:rsidR="0070341A">
        <w:rPr>
          <w:rFonts w:eastAsia="Arial"/>
          <w:sz w:val="20"/>
          <w:szCs w:val="20"/>
          <w:vertAlign w:val="superscript"/>
        </w:rPr>
        <w:t>14</w:t>
      </w:r>
      <w:r w:rsidRPr="00EC3B28">
        <w:rPr>
          <w:rFonts w:eastAsia="Arial"/>
          <w:sz w:val="20"/>
          <w:szCs w:val="20"/>
        </w:rPr>
        <w:t xml:space="preserve"> (here referred to as minimum detectable value of the net state variable). In this </w:t>
      </w:r>
      <w:r w:rsidR="00B265E2" w:rsidRPr="00EC3B28">
        <w:rPr>
          <w:rFonts w:eastAsia="Arial"/>
          <w:sz w:val="20"/>
          <w:szCs w:val="20"/>
        </w:rPr>
        <w:t>case,</w:t>
      </w:r>
      <w:r w:rsidRPr="00EC3B28">
        <w:rPr>
          <w:rFonts w:eastAsia="Arial"/>
          <w:sz w:val="20"/>
          <w:szCs w:val="20"/>
        </w:rPr>
        <w:t xml:space="preserve"> representative blank material shall be used, which is fortified at and below the minimum required performance level in equidistant steps. Analyse the samples. </w:t>
      </w:r>
      <w:r w:rsidR="007141ED">
        <w:rPr>
          <w:rFonts w:eastAsia="Arial"/>
          <w:sz w:val="20"/>
          <w:szCs w:val="20"/>
        </w:rPr>
        <w:t>P</w:t>
      </w:r>
      <w:r w:rsidRPr="00EC3B28">
        <w:rPr>
          <w:rFonts w:eastAsia="Arial"/>
          <w:sz w:val="20"/>
          <w:szCs w:val="20"/>
        </w:rPr>
        <w:t xml:space="preserve">lot the signal against the added concentration. The corresponding concentration at the </w:t>
      </w:r>
      <w:r w:rsidR="006C1F79">
        <w:rPr>
          <w:rFonts w:eastAsia="Arial"/>
          <w:sz w:val="20"/>
          <w:szCs w:val="20"/>
        </w:rPr>
        <w:t>CC</w:t>
      </w:r>
      <w:r w:rsidR="0016136E">
        <w:rPr>
          <w:rFonts w:eastAsia="Arial"/>
          <w:sz w:val="20"/>
          <w:szCs w:val="20"/>
        </w:rPr>
        <w:t>α</w:t>
      </w:r>
      <w:r w:rsidRPr="00EC3B28">
        <w:rPr>
          <w:rFonts w:eastAsia="Arial"/>
          <w:sz w:val="20"/>
          <w:szCs w:val="20"/>
        </w:rPr>
        <w:t xml:space="preserve"> plus 1</w:t>
      </w:r>
      <w:r w:rsidR="005B5945">
        <w:rPr>
          <w:rFonts w:eastAsia="Arial"/>
          <w:sz w:val="20"/>
          <w:szCs w:val="20"/>
        </w:rPr>
        <w:t>.</w:t>
      </w:r>
      <w:r w:rsidRPr="00EC3B28">
        <w:rPr>
          <w:rFonts w:eastAsia="Arial"/>
          <w:sz w:val="20"/>
          <w:szCs w:val="20"/>
        </w:rPr>
        <w:t xml:space="preserve">64 times the standard deviation of the within-laboratory reproducibility of the mean measured content at </w:t>
      </w:r>
      <w:r w:rsidRPr="0016136E">
        <w:rPr>
          <w:rFonts w:eastAsia="Arial"/>
          <w:sz w:val="20"/>
          <w:szCs w:val="20"/>
        </w:rPr>
        <w:t xml:space="preserve">the </w:t>
      </w:r>
      <w:r w:rsidR="006C1F79" w:rsidRPr="0016136E">
        <w:rPr>
          <w:rFonts w:eastAsia="Arial"/>
          <w:sz w:val="20"/>
          <w:szCs w:val="20"/>
        </w:rPr>
        <w:t>CC</w:t>
      </w:r>
      <w:r w:rsidR="00C94D15" w:rsidRPr="0016136E">
        <w:rPr>
          <w:rFonts w:eastAsia="Arial"/>
          <w:sz w:val="20"/>
          <w:szCs w:val="20"/>
        </w:rPr>
        <w:t>α</w:t>
      </w:r>
      <w:r w:rsidRPr="0016136E">
        <w:rPr>
          <w:rFonts w:eastAsia="Arial"/>
          <w:sz w:val="20"/>
          <w:szCs w:val="20"/>
        </w:rPr>
        <w:t xml:space="preserve"> </w:t>
      </w:r>
      <w:r w:rsidRPr="00EC3B28">
        <w:rPr>
          <w:rFonts w:eastAsia="Arial"/>
          <w:sz w:val="20"/>
          <w:szCs w:val="20"/>
        </w:rPr>
        <w:t>equals the detection capability. Extrapolation below the lowest spike level shall be confirmed by experimental data at the validation step, or,</w:t>
      </w:r>
    </w:p>
    <w:p w14:paraId="7277DF41" w14:textId="0D617107" w:rsidR="00A73D5E" w:rsidRPr="00EC3B28" w:rsidRDefault="00A73D5E" w:rsidP="00A73D5E">
      <w:pPr>
        <w:rPr>
          <w:rFonts w:eastAsia="Arial"/>
          <w:sz w:val="20"/>
          <w:szCs w:val="20"/>
        </w:rPr>
      </w:pPr>
      <w:r w:rsidRPr="00EC3B28">
        <w:rPr>
          <w:rFonts w:eastAsia="Arial"/>
          <w:sz w:val="20"/>
          <w:szCs w:val="20"/>
        </w:rPr>
        <w:t>-</w:t>
      </w:r>
      <w:r w:rsidR="00C64494">
        <w:rPr>
          <w:rFonts w:eastAsia="Arial"/>
          <w:sz w:val="20"/>
          <w:szCs w:val="20"/>
        </w:rPr>
        <w:t xml:space="preserve"> </w:t>
      </w:r>
      <w:r w:rsidRPr="00EC3B28">
        <w:rPr>
          <w:rFonts w:eastAsia="Arial"/>
          <w:sz w:val="20"/>
          <w:szCs w:val="20"/>
        </w:rPr>
        <w:t xml:space="preserve">Method 2: Investigation of fortified blank material at and above the </w:t>
      </w:r>
      <w:r w:rsidR="006C1F79" w:rsidRPr="0016136E">
        <w:rPr>
          <w:rFonts w:eastAsia="Arial"/>
          <w:sz w:val="20"/>
          <w:szCs w:val="20"/>
        </w:rPr>
        <w:t>CC</w:t>
      </w:r>
      <w:r w:rsidR="00C94D15" w:rsidRPr="0016136E">
        <w:rPr>
          <w:rFonts w:eastAsia="Arial"/>
          <w:sz w:val="20"/>
          <w:szCs w:val="20"/>
        </w:rPr>
        <w:t>α</w:t>
      </w:r>
      <w:r w:rsidRPr="00EC3B28">
        <w:rPr>
          <w:rFonts w:eastAsia="Arial"/>
          <w:sz w:val="20"/>
          <w:szCs w:val="20"/>
        </w:rPr>
        <w:t xml:space="preserve">. In this </w:t>
      </w:r>
      <w:r w:rsidR="00B265E2" w:rsidRPr="00EC3B28">
        <w:rPr>
          <w:rFonts w:eastAsia="Arial"/>
          <w:sz w:val="20"/>
          <w:szCs w:val="20"/>
        </w:rPr>
        <w:t>case,</w:t>
      </w:r>
      <w:r w:rsidRPr="00EC3B28">
        <w:rPr>
          <w:rFonts w:eastAsia="Arial"/>
          <w:sz w:val="20"/>
          <w:szCs w:val="20"/>
        </w:rPr>
        <w:t xml:space="preserve"> the concentration level, where only ≤ 5 % false compliant results remain, equals the detection capability of the method. Therefore, at least 20 investigations for at least one concentration level have to be carried out in order to ensure a reliable basis for this determination.</w:t>
      </w:r>
    </w:p>
    <w:p w14:paraId="7BBCB2CD" w14:textId="1BFAAAA6" w:rsidR="00A73D5E" w:rsidRDefault="00A73D5E" w:rsidP="00A73D5E">
      <w:pPr>
        <w:rPr>
          <w:rFonts w:eastAsia="Arial"/>
          <w:sz w:val="20"/>
          <w:szCs w:val="20"/>
        </w:rPr>
      </w:pPr>
      <w:r w:rsidRPr="00EC3B28">
        <w:rPr>
          <w:rFonts w:eastAsia="Arial"/>
          <w:sz w:val="20"/>
          <w:szCs w:val="20"/>
        </w:rPr>
        <w:t>-</w:t>
      </w:r>
      <w:r w:rsidR="00C64494">
        <w:rPr>
          <w:rFonts w:eastAsia="Arial"/>
          <w:sz w:val="20"/>
          <w:szCs w:val="20"/>
        </w:rPr>
        <w:t xml:space="preserve"> </w:t>
      </w:r>
      <w:r w:rsidRPr="00EC3B28">
        <w:rPr>
          <w:rFonts w:eastAsia="Arial"/>
          <w:sz w:val="20"/>
          <w:szCs w:val="20"/>
        </w:rPr>
        <w:t>Method 3:</w:t>
      </w:r>
      <w:r w:rsidRPr="00EC3B28">
        <w:rPr>
          <w:sz w:val="20"/>
          <w:szCs w:val="20"/>
        </w:rPr>
        <w:t xml:space="preserve"> </w:t>
      </w:r>
      <w:r w:rsidRPr="00EC3B28">
        <w:rPr>
          <w:rFonts w:eastAsia="Arial"/>
          <w:sz w:val="20"/>
          <w:szCs w:val="20"/>
        </w:rPr>
        <w:t xml:space="preserve">CCβ = LCL + k(one sided, 95%) </w:t>
      </w:r>
      <w:r w:rsidR="00977637">
        <w:rPr>
          <w:rFonts w:eastAsia="Arial"/>
          <w:sz w:val="20"/>
          <w:szCs w:val="20"/>
        </w:rPr>
        <w:t>×</w:t>
      </w:r>
      <w:r w:rsidRPr="00EC3B28">
        <w:rPr>
          <w:rFonts w:eastAsia="Arial"/>
          <w:sz w:val="20"/>
          <w:szCs w:val="20"/>
        </w:rPr>
        <w:t xml:space="preserve"> measurement uncertainty at or above the LCL </w:t>
      </w:r>
    </w:p>
    <w:p w14:paraId="3EF090C7" w14:textId="77777777" w:rsidR="00C64494" w:rsidRPr="00EC3B28" w:rsidRDefault="00C64494" w:rsidP="00A73D5E">
      <w:pPr>
        <w:rPr>
          <w:rFonts w:eastAsia="Arial"/>
          <w:sz w:val="20"/>
          <w:szCs w:val="20"/>
        </w:rPr>
      </w:pPr>
    </w:p>
    <w:p w14:paraId="11245BC9" w14:textId="3520DF84" w:rsidR="00A73D5E" w:rsidRPr="00EC3B28" w:rsidRDefault="00A73D5E" w:rsidP="00A73D5E">
      <w:pPr>
        <w:rPr>
          <w:rFonts w:eastAsia="Arial"/>
          <w:sz w:val="20"/>
          <w:szCs w:val="20"/>
        </w:rPr>
      </w:pPr>
      <w:bookmarkStart w:id="64" w:name="_Toc535221056"/>
      <w:r w:rsidRPr="00EC3B28">
        <w:rPr>
          <w:rFonts w:eastAsia="Arial"/>
          <w:sz w:val="20"/>
          <w:szCs w:val="20"/>
        </w:rPr>
        <w:t xml:space="preserve">For </w:t>
      </w:r>
      <w:r w:rsidRPr="00EC3B28">
        <w:rPr>
          <w:rFonts w:eastAsia="Arial"/>
          <w:sz w:val="20"/>
          <w:szCs w:val="20"/>
          <w:u w:val="single"/>
        </w:rPr>
        <w:t xml:space="preserve">authorised pharmacologically active </w:t>
      </w:r>
      <w:r w:rsidR="00B265E2" w:rsidRPr="00EC3B28">
        <w:rPr>
          <w:rFonts w:eastAsia="Arial"/>
          <w:sz w:val="20"/>
          <w:szCs w:val="20"/>
          <w:u w:val="single"/>
        </w:rPr>
        <w:t>substances,</w:t>
      </w:r>
      <w:r w:rsidRPr="00EC3B28">
        <w:rPr>
          <w:rFonts w:eastAsia="Arial"/>
          <w:sz w:val="20"/>
          <w:szCs w:val="20"/>
        </w:rPr>
        <w:t xml:space="preserve"> a maximum β-error of 5% shall be ensured. The CCβ shall be calculated as follows:</w:t>
      </w:r>
    </w:p>
    <w:p w14:paraId="4A59EFC3" w14:textId="6272772E" w:rsidR="006932E1" w:rsidRPr="0016136E" w:rsidRDefault="0016136E" w:rsidP="0016136E">
      <w:pPr>
        <w:rPr>
          <w:rFonts w:eastAsia="Arial"/>
          <w:sz w:val="20"/>
          <w:szCs w:val="20"/>
        </w:rPr>
      </w:pPr>
      <w:r w:rsidRPr="0016136E">
        <w:rPr>
          <w:rFonts w:eastAsia="Arial"/>
          <w:sz w:val="20"/>
          <w:szCs w:val="20"/>
        </w:rPr>
        <w:t>-</w:t>
      </w:r>
      <w:r>
        <w:rPr>
          <w:rFonts w:eastAsia="Arial"/>
          <w:sz w:val="20"/>
          <w:szCs w:val="20"/>
        </w:rPr>
        <w:t xml:space="preserve"> </w:t>
      </w:r>
      <w:r w:rsidR="006932E1" w:rsidRPr="0016136E">
        <w:rPr>
          <w:rFonts w:eastAsia="Arial"/>
          <w:sz w:val="20"/>
          <w:szCs w:val="20"/>
        </w:rPr>
        <w:t>Method 1: by the calibration curve procedure according to ISO 11843</w:t>
      </w:r>
      <w:r w:rsidR="00C94D15" w:rsidRPr="0016136E">
        <w:rPr>
          <w:rFonts w:eastAsia="Arial"/>
          <w:sz w:val="20"/>
          <w:szCs w:val="20"/>
        </w:rPr>
        <w:t xml:space="preserve"> </w:t>
      </w:r>
      <w:r w:rsidR="006932E1" w:rsidRPr="0016136E">
        <w:rPr>
          <w:rFonts w:eastAsia="Arial"/>
          <w:sz w:val="20"/>
          <w:szCs w:val="20"/>
        </w:rPr>
        <w:t>(here referred to as</w:t>
      </w:r>
      <w:r w:rsidR="00AD02F2" w:rsidRPr="0016136E">
        <w:rPr>
          <w:rFonts w:eastAsia="Arial"/>
          <w:sz w:val="20"/>
          <w:szCs w:val="20"/>
        </w:rPr>
        <w:t xml:space="preserve"> a </w:t>
      </w:r>
      <w:r w:rsidR="006932E1" w:rsidRPr="0016136E">
        <w:rPr>
          <w:rFonts w:eastAsia="Arial"/>
          <w:sz w:val="20"/>
          <w:szCs w:val="20"/>
        </w:rPr>
        <w:t>minimum detectable value of the net state</w:t>
      </w:r>
      <w:r w:rsidR="00C94D15" w:rsidRPr="0016136E">
        <w:rPr>
          <w:rFonts w:eastAsia="Arial"/>
          <w:sz w:val="20"/>
          <w:szCs w:val="20"/>
        </w:rPr>
        <w:t xml:space="preserve"> </w:t>
      </w:r>
      <w:r w:rsidR="006932E1" w:rsidRPr="0016136E">
        <w:rPr>
          <w:rFonts w:eastAsia="Arial"/>
          <w:sz w:val="20"/>
          <w:szCs w:val="20"/>
        </w:rPr>
        <w:t>variable). In this case</w:t>
      </w:r>
      <w:r w:rsidR="00DF5DC6">
        <w:rPr>
          <w:rFonts w:eastAsia="Arial"/>
          <w:sz w:val="20"/>
          <w:szCs w:val="20"/>
        </w:rPr>
        <w:t>,</w:t>
      </w:r>
      <w:r w:rsidR="006932E1" w:rsidRPr="0016136E">
        <w:rPr>
          <w:rFonts w:eastAsia="Arial"/>
          <w:sz w:val="20"/>
          <w:szCs w:val="20"/>
        </w:rPr>
        <w:t xml:space="preserve"> representative blank material shall be used,</w:t>
      </w:r>
      <w:r w:rsidR="00C94D15" w:rsidRPr="0016136E">
        <w:rPr>
          <w:rFonts w:eastAsia="Arial"/>
          <w:sz w:val="20"/>
          <w:szCs w:val="20"/>
        </w:rPr>
        <w:t xml:space="preserve"> </w:t>
      </w:r>
      <w:r w:rsidR="006932E1" w:rsidRPr="0016136E">
        <w:rPr>
          <w:rFonts w:eastAsia="Arial"/>
          <w:sz w:val="20"/>
          <w:szCs w:val="20"/>
        </w:rPr>
        <w:t>which is fortified around the permitted limit in equidistant steps.</w:t>
      </w:r>
      <w:r w:rsidRPr="0016136E">
        <w:rPr>
          <w:rFonts w:eastAsia="Arial"/>
          <w:sz w:val="20"/>
          <w:szCs w:val="20"/>
        </w:rPr>
        <w:t xml:space="preserve"> </w:t>
      </w:r>
      <w:r w:rsidR="006932E1" w:rsidRPr="0016136E">
        <w:rPr>
          <w:rFonts w:eastAsia="Arial"/>
          <w:sz w:val="20"/>
          <w:szCs w:val="20"/>
        </w:rPr>
        <w:t>Analyse the samples and identify the analyte(s). Calculate the standard</w:t>
      </w:r>
      <w:r w:rsidRPr="0016136E">
        <w:rPr>
          <w:rFonts w:eastAsia="Arial"/>
          <w:sz w:val="20"/>
          <w:szCs w:val="20"/>
        </w:rPr>
        <w:t xml:space="preserve"> </w:t>
      </w:r>
      <w:r w:rsidR="006932E1" w:rsidRPr="0016136E">
        <w:rPr>
          <w:rFonts w:eastAsia="Arial"/>
          <w:sz w:val="20"/>
          <w:szCs w:val="20"/>
        </w:rPr>
        <w:t>deviation of the mean measured content at the CC</w:t>
      </w:r>
      <w:r w:rsidR="00C94D15" w:rsidRPr="0016136E">
        <w:rPr>
          <w:rFonts w:eastAsia="Arial"/>
          <w:sz w:val="20"/>
          <w:szCs w:val="20"/>
        </w:rPr>
        <w:t>α</w:t>
      </w:r>
      <w:r w:rsidR="006932E1" w:rsidRPr="0016136E">
        <w:rPr>
          <w:rFonts w:eastAsia="Arial"/>
          <w:sz w:val="20"/>
          <w:szCs w:val="20"/>
        </w:rPr>
        <w:t>.</w:t>
      </w:r>
    </w:p>
    <w:p w14:paraId="15F03D3D" w14:textId="76E4271F" w:rsidR="006932E1" w:rsidRDefault="006932E1" w:rsidP="006932E1">
      <w:pPr>
        <w:rPr>
          <w:rFonts w:eastAsia="Arial"/>
          <w:sz w:val="20"/>
          <w:szCs w:val="20"/>
        </w:rPr>
      </w:pPr>
      <w:r w:rsidRPr="006932E1">
        <w:rPr>
          <w:rFonts w:eastAsia="Arial"/>
          <w:sz w:val="20"/>
          <w:szCs w:val="20"/>
        </w:rPr>
        <w:t xml:space="preserve">The corresponding concentration at the value of the </w:t>
      </w:r>
      <w:r>
        <w:rPr>
          <w:rFonts w:eastAsia="Arial"/>
          <w:sz w:val="20"/>
          <w:szCs w:val="20"/>
        </w:rPr>
        <w:t>CC</w:t>
      </w:r>
      <w:r w:rsidR="00C94D15">
        <w:rPr>
          <w:rFonts w:eastAsia="Arial"/>
          <w:sz w:val="20"/>
          <w:szCs w:val="20"/>
        </w:rPr>
        <w:t>α</w:t>
      </w:r>
      <w:r w:rsidR="0016136E">
        <w:rPr>
          <w:rFonts w:eastAsia="Arial"/>
          <w:sz w:val="20"/>
          <w:szCs w:val="20"/>
        </w:rPr>
        <w:t xml:space="preserve"> </w:t>
      </w:r>
      <w:r w:rsidRPr="006932E1">
        <w:rPr>
          <w:rFonts w:eastAsia="Arial"/>
          <w:sz w:val="20"/>
          <w:szCs w:val="20"/>
        </w:rPr>
        <w:t>plus</w:t>
      </w:r>
      <w:r w:rsidR="0016136E">
        <w:rPr>
          <w:rFonts w:eastAsia="Arial"/>
          <w:sz w:val="20"/>
          <w:szCs w:val="20"/>
        </w:rPr>
        <w:t xml:space="preserve"> </w:t>
      </w:r>
      <w:r w:rsidRPr="006932E1">
        <w:rPr>
          <w:rFonts w:eastAsia="Arial"/>
          <w:sz w:val="20"/>
          <w:szCs w:val="20"/>
        </w:rPr>
        <w:t>1,64 times the standard deviation of the within-laboratory</w:t>
      </w:r>
      <w:r w:rsidR="0016136E">
        <w:rPr>
          <w:rFonts w:eastAsia="Arial"/>
          <w:sz w:val="20"/>
          <w:szCs w:val="20"/>
        </w:rPr>
        <w:t xml:space="preserve"> </w:t>
      </w:r>
      <w:r w:rsidRPr="006932E1">
        <w:rPr>
          <w:rFonts w:eastAsia="Arial"/>
          <w:sz w:val="20"/>
          <w:szCs w:val="20"/>
        </w:rPr>
        <w:t>reproducibility equals</w:t>
      </w:r>
      <w:r w:rsidR="00AD02F2">
        <w:rPr>
          <w:rFonts w:eastAsia="Arial"/>
          <w:sz w:val="20"/>
          <w:szCs w:val="20"/>
        </w:rPr>
        <w:t xml:space="preserve"> </w:t>
      </w:r>
      <w:r w:rsidRPr="006932E1">
        <w:rPr>
          <w:rFonts w:eastAsia="Arial"/>
          <w:sz w:val="20"/>
          <w:szCs w:val="20"/>
        </w:rPr>
        <w:t>the detection capability (β = 5 %),</w:t>
      </w:r>
    </w:p>
    <w:p w14:paraId="070791A4" w14:textId="62CEC6DC" w:rsidR="00A73D5E" w:rsidRPr="00EC3B28" w:rsidRDefault="001741AF" w:rsidP="00762DD7">
      <w:pPr>
        <w:rPr>
          <w:rFonts w:eastAsia="Arial"/>
          <w:sz w:val="20"/>
          <w:szCs w:val="20"/>
        </w:rPr>
      </w:pPr>
      <w:r w:rsidRPr="001741AF">
        <w:rPr>
          <w:rFonts w:eastAsia="Arial"/>
          <w:sz w:val="20"/>
          <w:szCs w:val="20"/>
        </w:rPr>
        <w:t>-</w:t>
      </w:r>
      <w:r>
        <w:rPr>
          <w:rFonts w:eastAsia="Arial"/>
          <w:sz w:val="20"/>
          <w:szCs w:val="20"/>
        </w:rPr>
        <w:t xml:space="preserve"> </w:t>
      </w:r>
      <w:r w:rsidR="00F118A3" w:rsidRPr="001741AF">
        <w:rPr>
          <w:rFonts w:eastAsia="Arial"/>
          <w:sz w:val="20"/>
          <w:szCs w:val="20"/>
        </w:rPr>
        <w:t xml:space="preserve">Method </w:t>
      </w:r>
      <w:r w:rsidR="00AD02F2" w:rsidRPr="001741AF">
        <w:rPr>
          <w:rFonts w:eastAsia="Arial"/>
          <w:sz w:val="20"/>
          <w:szCs w:val="20"/>
        </w:rPr>
        <w:t>2</w:t>
      </w:r>
      <w:r w:rsidR="00F118A3" w:rsidRPr="001741AF">
        <w:rPr>
          <w:rFonts w:eastAsia="Arial"/>
          <w:sz w:val="20"/>
          <w:szCs w:val="20"/>
        </w:rPr>
        <w:t xml:space="preserve">: </w:t>
      </w:r>
      <w:r w:rsidR="00A73D5E" w:rsidRPr="00EC3B28">
        <w:rPr>
          <w:rFonts w:eastAsia="Arial"/>
          <w:sz w:val="20"/>
          <w:szCs w:val="20"/>
        </w:rPr>
        <w:t xml:space="preserve">CCβ = LCL + k(one sided, 95%) </w:t>
      </w:r>
      <w:r w:rsidR="0016136E">
        <w:rPr>
          <w:rFonts w:eastAsia="Arial"/>
          <w:sz w:val="20"/>
          <w:szCs w:val="20"/>
        </w:rPr>
        <w:t>×</w:t>
      </w:r>
      <w:r w:rsidR="00A73D5E" w:rsidRPr="00EC3B28">
        <w:rPr>
          <w:rFonts w:eastAsia="Arial"/>
          <w:sz w:val="20"/>
          <w:szCs w:val="20"/>
        </w:rPr>
        <w:t xml:space="preserve"> measurement uncertainty at the MRL or ML</w:t>
      </w:r>
    </w:p>
    <w:p w14:paraId="611CE662" w14:textId="7EBFE89D" w:rsidR="00DF5DC6" w:rsidRPr="00EC3B28" w:rsidRDefault="00DF5DC6" w:rsidP="00DF5DC6">
      <w:pPr>
        <w:rPr>
          <w:rFonts w:eastAsia="Arial"/>
          <w:sz w:val="20"/>
          <w:szCs w:val="20"/>
        </w:rPr>
      </w:pPr>
      <w:r w:rsidRPr="00EC3B28">
        <w:rPr>
          <w:rFonts w:eastAsia="Arial"/>
          <w:sz w:val="20"/>
          <w:szCs w:val="20"/>
        </w:rPr>
        <w:t xml:space="preserve">For authorised pharmacologically active substances, </w:t>
      </w:r>
      <w:r>
        <w:rPr>
          <w:rFonts w:eastAsia="Arial"/>
          <w:sz w:val="20"/>
          <w:szCs w:val="20"/>
        </w:rPr>
        <w:t>d</w:t>
      </w:r>
      <w:r w:rsidRPr="00444CDF">
        <w:rPr>
          <w:rFonts w:eastAsia="Arial"/>
          <w:sz w:val="20"/>
          <w:szCs w:val="20"/>
        </w:rPr>
        <w:t>epending on the validation experiment (and its respective degrees of freedom) the t-distribution might be reasonably applied, or - if the Gaussian distribution (one-</w:t>
      </w:r>
      <w:r>
        <w:rPr>
          <w:rFonts w:eastAsia="Arial"/>
          <w:sz w:val="20"/>
          <w:szCs w:val="20"/>
        </w:rPr>
        <w:t xml:space="preserve">sided, n=∞) is taken as a basis, </w:t>
      </w:r>
      <w:r w:rsidRPr="00EC3B28">
        <w:rPr>
          <w:rFonts w:eastAsia="Arial"/>
          <w:sz w:val="20"/>
          <w:szCs w:val="20"/>
        </w:rPr>
        <w:t xml:space="preserve">a k-factor of 1.64 shall be used. </w:t>
      </w:r>
    </w:p>
    <w:p w14:paraId="486AE837" w14:textId="423D2CEB" w:rsidR="00A73D5E" w:rsidRPr="00EC3B28" w:rsidRDefault="00A73D5E" w:rsidP="00A73D5E">
      <w:pPr>
        <w:rPr>
          <w:rFonts w:eastAsia="Arial"/>
          <w:sz w:val="20"/>
          <w:szCs w:val="20"/>
        </w:rPr>
      </w:pPr>
    </w:p>
    <w:p w14:paraId="74F92723" w14:textId="4186FA91" w:rsidR="00A73D5E" w:rsidRDefault="00A73D5E" w:rsidP="00A73D5E">
      <w:pPr>
        <w:rPr>
          <w:rFonts w:eastAsia="Arial"/>
          <w:sz w:val="20"/>
          <w:szCs w:val="20"/>
        </w:rPr>
      </w:pPr>
      <w:r w:rsidRPr="00EC3B28">
        <w:rPr>
          <w:rFonts w:eastAsia="Arial"/>
          <w:sz w:val="20"/>
          <w:szCs w:val="20"/>
        </w:rPr>
        <w:t>The provisions from Chapter 2</w:t>
      </w:r>
      <w:r w:rsidRPr="00EC3B28">
        <w:rPr>
          <w:sz w:val="20"/>
          <w:szCs w:val="20"/>
        </w:rPr>
        <w:t>.</w:t>
      </w:r>
      <w:r w:rsidR="00E154D6">
        <w:rPr>
          <w:sz w:val="20"/>
          <w:szCs w:val="20"/>
        </w:rPr>
        <w:t>6</w:t>
      </w:r>
      <w:r w:rsidRPr="00EC3B28">
        <w:rPr>
          <w:sz w:val="20"/>
          <w:szCs w:val="20"/>
        </w:rPr>
        <w:t xml:space="preserve"> </w:t>
      </w:r>
      <w:r w:rsidRPr="00EC3B28">
        <w:rPr>
          <w:rFonts w:eastAsia="Arial"/>
          <w:sz w:val="20"/>
          <w:szCs w:val="20"/>
        </w:rPr>
        <w:t>on measurement uncertainty, recovery correction and MRLs, which are set for a sum of different substances, equally apply to the determ</w:t>
      </w:r>
      <w:r w:rsidR="00E154D6">
        <w:rPr>
          <w:rFonts w:eastAsia="Arial"/>
          <w:sz w:val="20"/>
          <w:szCs w:val="20"/>
        </w:rPr>
        <w:t>ination of CCβ under Chapter 2.7</w:t>
      </w:r>
      <w:r w:rsidRPr="00EC3B28">
        <w:rPr>
          <w:rFonts w:eastAsia="Arial"/>
          <w:sz w:val="20"/>
          <w:szCs w:val="20"/>
        </w:rPr>
        <w:t>.</w:t>
      </w:r>
    </w:p>
    <w:p w14:paraId="72477533" w14:textId="77777777" w:rsidR="00725F0F" w:rsidRPr="00EC3B28" w:rsidRDefault="00725F0F" w:rsidP="00A73D5E">
      <w:pPr>
        <w:rPr>
          <w:rFonts w:eastAsia="Arial"/>
          <w:sz w:val="20"/>
          <w:szCs w:val="20"/>
        </w:rPr>
      </w:pPr>
    </w:p>
    <w:p w14:paraId="155F6FD7" w14:textId="5B1553ED" w:rsidR="00A73D5E" w:rsidRPr="00EC3B28" w:rsidRDefault="00E154D6" w:rsidP="00A73D5E">
      <w:pPr>
        <w:pStyle w:val="Heading2"/>
        <w:rPr>
          <w:rFonts w:ascii="Times New Roman" w:hAnsi="Times New Roman" w:cs="Times New Roman"/>
          <w:color w:val="000000" w:themeColor="text1"/>
          <w:sz w:val="20"/>
          <w:szCs w:val="20"/>
          <w:highlight w:val="yellow"/>
        </w:rPr>
      </w:pPr>
      <w:bookmarkStart w:id="65" w:name="_Toc5193410"/>
      <w:r>
        <w:rPr>
          <w:rFonts w:ascii="Times New Roman" w:hAnsi="Times New Roman" w:cs="Times New Roman"/>
          <w:color w:val="000000" w:themeColor="text1"/>
          <w:sz w:val="20"/>
          <w:szCs w:val="20"/>
        </w:rPr>
        <w:t>2.8</w:t>
      </w:r>
      <w:r w:rsidR="00A73D5E" w:rsidRPr="00EC3B28">
        <w:rPr>
          <w:rFonts w:ascii="Times New Roman" w:hAnsi="Times New Roman" w:cs="Times New Roman"/>
          <w:color w:val="000000" w:themeColor="text1"/>
          <w:sz w:val="20"/>
          <w:szCs w:val="20"/>
        </w:rPr>
        <w:t xml:space="preserve"> Calibration curves</w:t>
      </w:r>
      <w:bookmarkEnd w:id="64"/>
      <w:bookmarkEnd w:id="65"/>
    </w:p>
    <w:p w14:paraId="095243FB" w14:textId="77777777" w:rsidR="00A73D5E" w:rsidRPr="00EC3B28" w:rsidRDefault="00A73D5E" w:rsidP="00A73D5E">
      <w:pPr>
        <w:spacing w:after="0"/>
        <w:rPr>
          <w:rFonts w:eastAsia="Calibri"/>
          <w:sz w:val="20"/>
          <w:szCs w:val="20"/>
        </w:rPr>
      </w:pPr>
      <w:r w:rsidRPr="00EC3B28">
        <w:rPr>
          <w:rFonts w:eastAsia="Calibri"/>
          <w:sz w:val="20"/>
          <w:szCs w:val="20"/>
        </w:rPr>
        <w:t>When calibration curves are used for quantification:</w:t>
      </w:r>
    </w:p>
    <w:p w14:paraId="3406A27E" w14:textId="77777777" w:rsidR="00A73D5E" w:rsidRPr="00EC3B28" w:rsidRDefault="00A73D5E" w:rsidP="00A73D5E">
      <w:pPr>
        <w:spacing w:after="0"/>
        <w:rPr>
          <w:rFonts w:eastAsia="Calibri"/>
          <w:sz w:val="20"/>
          <w:szCs w:val="20"/>
        </w:rPr>
      </w:pPr>
      <w:r w:rsidRPr="00EC3B28">
        <w:rPr>
          <w:rFonts w:eastAsia="Calibri"/>
          <w:sz w:val="20"/>
          <w:szCs w:val="20"/>
        </w:rPr>
        <w:t xml:space="preserve">- at least five levels (including zero) shall be used in the construction of the curve, </w:t>
      </w:r>
    </w:p>
    <w:p w14:paraId="7D9478FD" w14:textId="77777777" w:rsidR="00A73D5E" w:rsidRPr="00EC3B28" w:rsidRDefault="00A73D5E" w:rsidP="00A73D5E">
      <w:pPr>
        <w:spacing w:after="0"/>
        <w:rPr>
          <w:rFonts w:eastAsia="Calibri"/>
          <w:sz w:val="20"/>
          <w:szCs w:val="20"/>
        </w:rPr>
      </w:pPr>
      <w:r w:rsidRPr="00EC3B28">
        <w:rPr>
          <w:rFonts w:eastAsia="Calibri"/>
          <w:sz w:val="20"/>
          <w:szCs w:val="20"/>
        </w:rPr>
        <w:t>- the working range of the curve shall be described,</w:t>
      </w:r>
    </w:p>
    <w:p w14:paraId="43F26B1C" w14:textId="77777777" w:rsidR="00A73D5E" w:rsidRPr="00EC3B28" w:rsidRDefault="00A73D5E" w:rsidP="00A73D5E">
      <w:pPr>
        <w:spacing w:after="0"/>
        <w:rPr>
          <w:rFonts w:eastAsia="Calibri"/>
          <w:sz w:val="20"/>
          <w:szCs w:val="20"/>
        </w:rPr>
      </w:pPr>
      <w:r w:rsidRPr="00EC3B28">
        <w:rPr>
          <w:rFonts w:eastAsia="Calibri"/>
          <w:sz w:val="20"/>
          <w:szCs w:val="20"/>
        </w:rPr>
        <w:t>- the mathematical formula of the curve and the goodness-of-fit of the data to the curve shall be described,</w:t>
      </w:r>
    </w:p>
    <w:p w14:paraId="4603EBE9" w14:textId="77777777" w:rsidR="00A73D5E" w:rsidRPr="00EC3B28" w:rsidRDefault="00A73D5E" w:rsidP="00A73D5E">
      <w:pPr>
        <w:spacing w:after="0"/>
        <w:rPr>
          <w:rFonts w:eastAsia="Calibri"/>
          <w:sz w:val="20"/>
          <w:szCs w:val="20"/>
        </w:rPr>
      </w:pPr>
      <w:r w:rsidRPr="00EC3B28">
        <w:rPr>
          <w:rFonts w:eastAsia="Calibri"/>
          <w:sz w:val="20"/>
          <w:szCs w:val="20"/>
        </w:rPr>
        <w:t>- acceptability ranges for the parameters of the curve shall be described.</w:t>
      </w:r>
    </w:p>
    <w:p w14:paraId="1F7E2236" w14:textId="6B7147E7" w:rsidR="00A73D5E" w:rsidRDefault="00A73D5E" w:rsidP="00A73D5E">
      <w:pPr>
        <w:spacing w:after="0"/>
        <w:rPr>
          <w:rFonts w:eastAsia="Calibri"/>
          <w:sz w:val="20"/>
          <w:szCs w:val="20"/>
        </w:rPr>
      </w:pPr>
      <w:r w:rsidRPr="00EC3B28">
        <w:rPr>
          <w:rFonts w:eastAsia="Calibri"/>
          <w:sz w:val="20"/>
          <w:szCs w:val="20"/>
        </w:rPr>
        <w:t>When serial calibration based on a standard solution</w:t>
      </w:r>
      <w:r w:rsidR="00932061">
        <w:rPr>
          <w:rFonts w:eastAsia="Calibri"/>
          <w:sz w:val="20"/>
          <w:szCs w:val="20"/>
        </w:rPr>
        <w:t>, matrix-matched standards or matrix-fortified standards</w:t>
      </w:r>
      <w:r w:rsidRPr="00EC3B28">
        <w:rPr>
          <w:rFonts w:eastAsia="Calibri"/>
          <w:sz w:val="20"/>
          <w:szCs w:val="20"/>
        </w:rPr>
        <w:t xml:space="preserve"> is necessary, acceptable ranges shall be indicated for the parameters of the calibration curve, which may vary from series to series</w:t>
      </w:r>
      <w:r w:rsidR="00C625BD">
        <w:rPr>
          <w:rFonts w:eastAsia="Calibri"/>
          <w:sz w:val="20"/>
          <w:szCs w:val="20"/>
        </w:rPr>
        <w:t>.</w:t>
      </w:r>
    </w:p>
    <w:p w14:paraId="73E04C92" w14:textId="77777777" w:rsidR="00725F0F" w:rsidRPr="00EC3B28" w:rsidRDefault="00725F0F" w:rsidP="00A73D5E">
      <w:pPr>
        <w:spacing w:after="0"/>
        <w:rPr>
          <w:rFonts w:eastAsia="Calibri"/>
          <w:sz w:val="20"/>
          <w:szCs w:val="20"/>
        </w:rPr>
      </w:pPr>
    </w:p>
    <w:p w14:paraId="44F33FEB" w14:textId="6D41D6D5" w:rsidR="00A73D5E" w:rsidRPr="00EC3B28" w:rsidRDefault="00A73D5E" w:rsidP="00A73D5E">
      <w:pPr>
        <w:pStyle w:val="Heading2"/>
        <w:rPr>
          <w:rFonts w:ascii="Times New Roman" w:hAnsi="Times New Roman" w:cs="Times New Roman"/>
          <w:color w:val="000000" w:themeColor="text1"/>
          <w:sz w:val="20"/>
          <w:szCs w:val="20"/>
        </w:rPr>
      </w:pPr>
      <w:bookmarkStart w:id="66" w:name="_Toc535221057"/>
      <w:bookmarkStart w:id="67" w:name="_Toc5193411"/>
      <w:r w:rsidRPr="00EC3B28">
        <w:rPr>
          <w:rFonts w:ascii="Times New Roman" w:hAnsi="Times New Roman" w:cs="Times New Roman"/>
          <w:color w:val="000000" w:themeColor="text1"/>
          <w:sz w:val="20"/>
          <w:szCs w:val="20"/>
        </w:rPr>
        <w:t>2</w:t>
      </w:r>
      <w:bookmarkStart w:id="68" w:name="_Toc535221058"/>
      <w:bookmarkEnd w:id="66"/>
      <w:r w:rsidR="00E154D6">
        <w:rPr>
          <w:rFonts w:ascii="Times New Roman" w:hAnsi="Times New Roman" w:cs="Times New Roman"/>
          <w:color w:val="000000" w:themeColor="text1"/>
          <w:sz w:val="20"/>
          <w:szCs w:val="20"/>
        </w:rPr>
        <w:t>.9</w:t>
      </w:r>
      <w:r w:rsidRPr="00EC3B28">
        <w:rPr>
          <w:rFonts w:ascii="Times New Roman" w:hAnsi="Times New Roman" w:cs="Times New Roman"/>
          <w:color w:val="000000" w:themeColor="text1"/>
          <w:sz w:val="20"/>
          <w:szCs w:val="20"/>
        </w:rPr>
        <w:t xml:space="preserve"> Absolute recovery</w:t>
      </w:r>
      <w:bookmarkEnd w:id="67"/>
      <w:bookmarkEnd w:id="68"/>
    </w:p>
    <w:p w14:paraId="42E7ED18" w14:textId="0544C6C7" w:rsidR="00A73D5E" w:rsidRPr="00EC3B28" w:rsidRDefault="00A73D5E" w:rsidP="00A73D5E">
      <w:pPr>
        <w:rPr>
          <w:rFonts w:eastAsia="Arial"/>
          <w:sz w:val="20"/>
          <w:szCs w:val="20"/>
        </w:rPr>
      </w:pPr>
      <w:r w:rsidRPr="00EC3B28">
        <w:rPr>
          <w:rFonts w:eastAsia="Arial"/>
          <w:sz w:val="20"/>
          <w:szCs w:val="20"/>
        </w:rPr>
        <w:t xml:space="preserve">The </w:t>
      </w:r>
      <w:r w:rsidR="00932061">
        <w:rPr>
          <w:rFonts w:eastAsia="Arial"/>
          <w:sz w:val="20"/>
          <w:szCs w:val="20"/>
        </w:rPr>
        <w:t xml:space="preserve">absolute </w:t>
      </w:r>
      <w:r w:rsidRPr="00EC3B28">
        <w:rPr>
          <w:rFonts w:eastAsia="Arial"/>
          <w:sz w:val="20"/>
          <w:szCs w:val="20"/>
        </w:rPr>
        <w:t xml:space="preserve">recovery of the method shall be determined when no internal standard or </w:t>
      </w:r>
      <w:r w:rsidR="00C625BD">
        <w:rPr>
          <w:rFonts w:eastAsia="Arial"/>
          <w:sz w:val="20"/>
          <w:szCs w:val="20"/>
        </w:rPr>
        <w:t xml:space="preserve">no </w:t>
      </w:r>
      <w:r w:rsidRPr="00EC3B28">
        <w:rPr>
          <w:rFonts w:eastAsia="Arial"/>
          <w:sz w:val="20"/>
          <w:szCs w:val="20"/>
        </w:rPr>
        <w:t>matrix-</w:t>
      </w:r>
      <w:r w:rsidR="00932061">
        <w:rPr>
          <w:rFonts w:eastAsia="Arial"/>
          <w:sz w:val="20"/>
          <w:szCs w:val="20"/>
        </w:rPr>
        <w:t>fortified</w:t>
      </w:r>
      <w:r w:rsidR="00932061" w:rsidRPr="00EC3B28">
        <w:rPr>
          <w:rFonts w:eastAsia="Arial"/>
          <w:sz w:val="20"/>
          <w:szCs w:val="20"/>
        </w:rPr>
        <w:t xml:space="preserve"> </w:t>
      </w:r>
      <w:r w:rsidRPr="00EC3B28">
        <w:rPr>
          <w:rFonts w:eastAsia="Arial"/>
          <w:sz w:val="20"/>
          <w:szCs w:val="20"/>
        </w:rPr>
        <w:t xml:space="preserve">calibration is used.  </w:t>
      </w:r>
    </w:p>
    <w:p w14:paraId="567F7993" w14:textId="41A8D0E8" w:rsidR="00A73D5E" w:rsidRPr="00EC3B28" w:rsidRDefault="00A73D5E" w:rsidP="00A73D5E">
      <w:pPr>
        <w:rPr>
          <w:rFonts w:eastAsia="Arial"/>
          <w:sz w:val="20"/>
          <w:szCs w:val="20"/>
        </w:rPr>
      </w:pPr>
      <w:r w:rsidRPr="00EC3B28">
        <w:rPr>
          <w:rFonts w:eastAsia="Arial"/>
          <w:sz w:val="20"/>
          <w:szCs w:val="20"/>
        </w:rPr>
        <w:t>When requirements for trueness, as set out in Table 1, are fulfilled, a fixed correction factor may be used. Otherwise</w:t>
      </w:r>
      <w:r w:rsidR="00C64494">
        <w:rPr>
          <w:rFonts w:eastAsia="Arial"/>
          <w:sz w:val="20"/>
          <w:szCs w:val="20"/>
        </w:rPr>
        <w:t>,</w:t>
      </w:r>
      <w:r w:rsidRPr="00EC3B28">
        <w:rPr>
          <w:rFonts w:eastAsia="Arial"/>
          <w:sz w:val="20"/>
          <w:szCs w:val="20"/>
        </w:rPr>
        <w:t xml:space="preserve"> the recovery factor obtained for that specific batch shall be used</w:t>
      </w:r>
      <w:r w:rsidR="00C625BD">
        <w:rPr>
          <w:rFonts w:eastAsia="Arial"/>
          <w:sz w:val="20"/>
          <w:szCs w:val="20"/>
        </w:rPr>
        <w:t>.</w:t>
      </w:r>
      <w:r w:rsidRPr="00EC3B28">
        <w:rPr>
          <w:rFonts w:eastAsia="Arial"/>
          <w:sz w:val="20"/>
          <w:szCs w:val="20"/>
        </w:rPr>
        <w:t xml:space="preserve"> Alternatively</w:t>
      </w:r>
      <w:r w:rsidR="00C625BD">
        <w:rPr>
          <w:rFonts w:eastAsia="Arial"/>
          <w:sz w:val="20"/>
          <w:szCs w:val="20"/>
        </w:rPr>
        <w:t>,</w:t>
      </w:r>
      <w:r w:rsidRPr="00EC3B28">
        <w:rPr>
          <w:rFonts w:eastAsia="Arial"/>
          <w:sz w:val="20"/>
          <w:szCs w:val="20"/>
        </w:rPr>
        <w:t xml:space="preserve"> the standard addition procedure (see 3.5) or an internal standard shall be used instead of using a recovery correction factor.</w:t>
      </w:r>
    </w:p>
    <w:p w14:paraId="7367DDA8" w14:textId="77777777" w:rsidR="00A73D5E" w:rsidRPr="00EC3B28" w:rsidRDefault="00A73D5E" w:rsidP="00A73D5E">
      <w:pPr>
        <w:rPr>
          <w:rFonts w:eastAsiaTheme="minorEastAsia"/>
          <w:sz w:val="20"/>
          <w:szCs w:val="20"/>
        </w:rPr>
      </w:pPr>
      <w:r w:rsidRPr="00EC3B28">
        <w:rPr>
          <w:rFonts w:eastAsiaTheme="minorEastAsia"/>
          <w:sz w:val="20"/>
          <w:szCs w:val="20"/>
        </w:rPr>
        <w:t xml:space="preserve">The recovery shall be calculated for at least 6 representative lots of matrix. </w:t>
      </w:r>
    </w:p>
    <w:p w14:paraId="72AF6D64" w14:textId="77777777" w:rsidR="00A73D5E" w:rsidRPr="00EC3B28" w:rsidRDefault="00A73D5E" w:rsidP="00A73D5E">
      <w:pPr>
        <w:rPr>
          <w:rFonts w:eastAsiaTheme="minorEastAsia"/>
          <w:sz w:val="20"/>
          <w:szCs w:val="20"/>
        </w:rPr>
      </w:pPr>
      <w:r w:rsidRPr="00EC3B28">
        <w:rPr>
          <w:rFonts w:eastAsiaTheme="minorEastAsia"/>
          <w:sz w:val="20"/>
          <w:szCs w:val="20"/>
        </w:rPr>
        <w:t>An aliquot of blank matrix shall be spiked with the analyte before extraction and a second aliquot of blank matrix shall be spiked after sample preparation at a relevant concentration level and the concentration of the analyte shall be analysed:</w:t>
      </w:r>
    </w:p>
    <w:p w14:paraId="4F047CCE" w14:textId="77777777" w:rsidR="00A73D5E" w:rsidRPr="00EC3B28" w:rsidRDefault="00A73D5E" w:rsidP="00A73D5E">
      <w:pPr>
        <w:spacing w:after="0"/>
        <w:rPr>
          <w:rFonts w:eastAsiaTheme="minorEastAsia"/>
          <w:sz w:val="20"/>
          <w:szCs w:val="20"/>
        </w:rPr>
      </w:pPr>
      <w:r w:rsidRPr="00EC3B28">
        <w:rPr>
          <w:rFonts w:eastAsiaTheme="minorEastAsia"/>
          <w:sz w:val="20"/>
          <w:szCs w:val="20"/>
        </w:rPr>
        <w:t>The recovery shall be calculated as:</w:t>
      </w:r>
    </w:p>
    <w:p w14:paraId="5489BC9B" w14:textId="060BDE53" w:rsidR="00A73D5E" w:rsidRPr="00EC3B28" w:rsidRDefault="00A73D5E" w:rsidP="00A73D5E">
      <w:pPr>
        <w:spacing w:after="0"/>
        <w:rPr>
          <w:rFonts w:eastAsiaTheme="minorEastAsia"/>
          <w:sz w:val="20"/>
          <w:szCs w:val="20"/>
        </w:rPr>
      </w:pPr>
      <w:r w:rsidRPr="00EC3B28">
        <w:rPr>
          <w:rFonts w:eastAsiaTheme="minorEastAsia"/>
          <w:sz w:val="20"/>
          <w:szCs w:val="20"/>
        </w:rPr>
        <w:t>Rec (analyte) = (</w:t>
      </w:r>
      <w:r w:rsidRPr="00EC3B28">
        <w:rPr>
          <w:rFonts w:ascii="Cambria Math" w:eastAsiaTheme="minorEastAsia" w:hAnsi="Cambria Math" w:cs="Cambria Math"/>
          <w:sz w:val="20"/>
          <w:szCs w:val="20"/>
        </w:rPr>
        <w:t>𝑎𝑟𝑒𝑎</w:t>
      </w:r>
      <w:r w:rsidRPr="00EC3B28">
        <w:rPr>
          <w:rFonts w:eastAsiaTheme="minorEastAsia"/>
          <w:sz w:val="20"/>
          <w:szCs w:val="20"/>
        </w:rPr>
        <w:t xml:space="preserve"> </w:t>
      </w:r>
      <w:r w:rsidR="00932061">
        <w:rPr>
          <w:rFonts w:eastAsiaTheme="minorEastAsia"/>
          <w:sz w:val="20"/>
          <w:szCs w:val="20"/>
        </w:rPr>
        <w:t>matrix-fortified standard</w:t>
      </w:r>
      <w:r w:rsidRPr="00EC3B28">
        <w:rPr>
          <w:rFonts w:eastAsiaTheme="minorEastAsia"/>
          <w:sz w:val="20"/>
          <w:szCs w:val="20"/>
        </w:rPr>
        <w:t>) / (</w:t>
      </w:r>
      <w:r w:rsidRPr="00EC3B28">
        <w:rPr>
          <w:rFonts w:ascii="Cambria Math" w:eastAsiaTheme="minorEastAsia" w:hAnsi="Cambria Math" w:cs="Cambria Math"/>
          <w:sz w:val="20"/>
          <w:szCs w:val="20"/>
        </w:rPr>
        <w:t>𝑎𝑟𝑒𝑎</w:t>
      </w:r>
      <w:r w:rsidRPr="00EC3B28">
        <w:rPr>
          <w:rFonts w:eastAsiaTheme="minorEastAsia"/>
          <w:sz w:val="20"/>
          <w:szCs w:val="20"/>
        </w:rPr>
        <w:t xml:space="preserve"> </w:t>
      </w:r>
      <w:r w:rsidR="00932061">
        <w:rPr>
          <w:rFonts w:eastAsiaTheme="minorEastAsia"/>
          <w:sz w:val="20"/>
          <w:szCs w:val="20"/>
        </w:rPr>
        <w:t>matrix-matched standard</w:t>
      </w:r>
      <w:r w:rsidRPr="00EC3B28">
        <w:rPr>
          <w:rFonts w:eastAsiaTheme="minorEastAsia"/>
          <w:sz w:val="20"/>
          <w:szCs w:val="20"/>
        </w:rPr>
        <w:t>)</w:t>
      </w:r>
      <w:r w:rsidR="00977637">
        <w:rPr>
          <w:rFonts w:eastAsiaTheme="minorEastAsia"/>
          <w:sz w:val="20"/>
          <w:szCs w:val="20"/>
        </w:rPr>
        <w:t xml:space="preserve"> </w:t>
      </w:r>
      <w:r w:rsidRPr="00EC3B28">
        <w:rPr>
          <w:rFonts w:eastAsiaTheme="minorEastAsia"/>
          <w:sz w:val="20"/>
          <w:szCs w:val="20"/>
        </w:rPr>
        <w:t>×</w:t>
      </w:r>
      <w:r w:rsidR="00977637">
        <w:rPr>
          <w:rFonts w:eastAsiaTheme="minorEastAsia"/>
          <w:sz w:val="20"/>
          <w:szCs w:val="20"/>
        </w:rPr>
        <w:t xml:space="preserve"> </w:t>
      </w:r>
      <w:r w:rsidRPr="00EC3B28">
        <w:rPr>
          <w:rFonts w:eastAsiaTheme="minorEastAsia"/>
          <w:sz w:val="20"/>
          <w:szCs w:val="20"/>
        </w:rPr>
        <w:t>100</w:t>
      </w:r>
    </w:p>
    <w:p w14:paraId="43156E3C" w14:textId="77777777" w:rsidR="00A73D5E" w:rsidRPr="00EC3B28" w:rsidRDefault="00A73D5E" w:rsidP="00A73D5E">
      <w:pPr>
        <w:spacing w:after="0"/>
        <w:rPr>
          <w:rFonts w:eastAsiaTheme="minorEastAsia"/>
          <w:sz w:val="20"/>
          <w:szCs w:val="20"/>
        </w:rPr>
      </w:pPr>
    </w:p>
    <w:p w14:paraId="2832CB2A" w14:textId="7E1BB538" w:rsidR="00A73D5E" w:rsidRPr="00EC3B28" w:rsidRDefault="00E154D6" w:rsidP="00A73D5E">
      <w:pPr>
        <w:pStyle w:val="Heading2"/>
        <w:rPr>
          <w:rFonts w:ascii="Times New Roman" w:hAnsi="Times New Roman" w:cs="Times New Roman"/>
          <w:color w:val="000000" w:themeColor="text1"/>
          <w:sz w:val="20"/>
          <w:szCs w:val="20"/>
        </w:rPr>
      </w:pPr>
      <w:bookmarkStart w:id="69" w:name="_Toc535221059"/>
      <w:bookmarkStart w:id="70" w:name="_Toc5193412"/>
      <w:r>
        <w:rPr>
          <w:rFonts w:ascii="Times New Roman" w:hAnsi="Times New Roman" w:cs="Times New Roman"/>
          <w:color w:val="000000" w:themeColor="text1"/>
          <w:sz w:val="20"/>
          <w:szCs w:val="20"/>
        </w:rPr>
        <w:t>2.10</w:t>
      </w:r>
      <w:r w:rsidR="00A73D5E" w:rsidRPr="00EC3B28">
        <w:rPr>
          <w:rFonts w:ascii="Times New Roman" w:hAnsi="Times New Roman" w:cs="Times New Roman"/>
          <w:color w:val="000000" w:themeColor="text1"/>
          <w:sz w:val="20"/>
          <w:szCs w:val="20"/>
        </w:rPr>
        <w:t xml:space="preserve"> Matrix effects</w:t>
      </w:r>
      <w:bookmarkEnd w:id="69"/>
      <w:bookmarkEnd w:id="70"/>
      <w:r w:rsidR="00A73D5E" w:rsidRPr="00EC3B28">
        <w:rPr>
          <w:rFonts w:ascii="Times New Roman" w:hAnsi="Times New Roman" w:cs="Times New Roman"/>
          <w:color w:val="000000" w:themeColor="text1"/>
          <w:sz w:val="20"/>
          <w:szCs w:val="20"/>
        </w:rPr>
        <w:t xml:space="preserve"> </w:t>
      </w:r>
    </w:p>
    <w:p w14:paraId="3FA8DC28" w14:textId="0D0C2EC9" w:rsidR="00A73D5E" w:rsidRPr="00EC3B28" w:rsidRDefault="00A73D5E" w:rsidP="00A73D5E">
      <w:pPr>
        <w:rPr>
          <w:rFonts w:eastAsiaTheme="minorEastAsia"/>
          <w:sz w:val="20"/>
          <w:szCs w:val="20"/>
        </w:rPr>
      </w:pPr>
      <w:r w:rsidRPr="00EC3B28">
        <w:rPr>
          <w:rFonts w:eastAsiaTheme="minorEastAsia"/>
          <w:sz w:val="20"/>
          <w:szCs w:val="20"/>
        </w:rPr>
        <w:t>The relative matrix effect sh</w:t>
      </w:r>
      <w:r w:rsidR="00DD67BC">
        <w:rPr>
          <w:rFonts w:eastAsiaTheme="minorEastAsia"/>
          <w:sz w:val="20"/>
          <w:szCs w:val="20"/>
        </w:rPr>
        <w:t>ould</w:t>
      </w:r>
      <w:r w:rsidRPr="00EC3B28">
        <w:rPr>
          <w:rFonts w:eastAsiaTheme="minorEastAsia"/>
          <w:sz w:val="20"/>
          <w:szCs w:val="20"/>
        </w:rPr>
        <w:t xml:space="preserve"> be determined. The calculation of the relative matrix effect sh</w:t>
      </w:r>
      <w:r w:rsidR="00DD67BC">
        <w:rPr>
          <w:rFonts w:eastAsiaTheme="minorEastAsia"/>
          <w:sz w:val="20"/>
          <w:szCs w:val="20"/>
        </w:rPr>
        <w:t>ould</w:t>
      </w:r>
      <w:r w:rsidRPr="00EC3B28">
        <w:rPr>
          <w:rFonts w:eastAsiaTheme="minorEastAsia"/>
          <w:sz w:val="20"/>
          <w:szCs w:val="20"/>
        </w:rPr>
        <w:t xml:space="preserve"> be done for at least 6 different lots of each matrix/species, according to the scope of the method e</w:t>
      </w:r>
      <w:r w:rsidR="00F21D68">
        <w:rPr>
          <w:rFonts w:eastAsiaTheme="minorEastAsia"/>
          <w:sz w:val="20"/>
          <w:szCs w:val="20"/>
        </w:rPr>
        <w:t>.</w:t>
      </w:r>
      <w:r w:rsidRPr="00EC3B28">
        <w:rPr>
          <w:rFonts w:eastAsiaTheme="minorEastAsia"/>
          <w:sz w:val="20"/>
          <w:szCs w:val="20"/>
        </w:rPr>
        <w:t xml:space="preserve">g. different species to be covered. </w:t>
      </w:r>
    </w:p>
    <w:p w14:paraId="4C12B276" w14:textId="2359E7E5" w:rsidR="00A73D5E" w:rsidRPr="00EC3B28" w:rsidRDefault="00A73D5E" w:rsidP="00A73D5E">
      <w:pPr>
        <w:rPr>
          <w:rFonts w:eastAsiaTheme="minorEastAsia"/>
          <w:sz w:val="20"/>
          <w:szCs w:val="20"/>
        </w:rPr>
      </w:pPr>
      <w:r w:rsidRPr="00EC3B28">
        <w:rPr>
          <w:rFonts w:eastAsiaTheme="minorEastAsia"/>
          <w:sz w:val="20"/>
          <w:szCs w:val="20"/>
        </w:rPr>
        <w:t>The blank matrix sh</w:t>
      </w:r>
      <w:r w:rsidR="00DD67BC">
        <w:rPr>
          <w:rFonts w:eastAsiaTheme="minorEastAsia"/>
          <w:sz w:val="20"/>
          <w:szCs w:val="20"/>
        </w:rPr>
        <w:t>ould</w:t>
      </w:r>
      <w:r w:rsidRPr="00EC3B28">
        <w:rPr>
          <w:rFonts w:eastAsiaTheme="minorEastAsia"/>
          <w:sz w:val="20"/>
          <w:szCs w:val="20"/>
        </w:rPr>
        <w:t xml:space="preserve"> be spiked after extraction with the analyte at </w:t>
      </w:r>
      <w:r w:rsidR="00932061">
        <w:rPr>
          <w:rFonts w:eastAsiaTheme="minorEastAsia"/>
          <w:sz w:val="20"/>
          <w:szCs w:val="20"/>
        </w:rPr>
        <w:t>the RPA, MRL or ML</w:t>
      </w:r>
      <w:r w:rsidRPr="00EC3B28">
        <w:rPr>
          <w:rFonts w:eastAsiaTheme="minorEastAsia"/>
          <w:sz w:val="20"/>
          <w:szCs w:val="20"/>
        </w:rPr>
        <w:t xml:space="preserve"> and sh</w:t>
      </w:r>
      <w:r w:rsidR="00DD67BC">
        <w:rPr>
          <w:rFonts w:eastAsiaTheme="minorEastAsia"/>
          <w:sz w:val="20"/>
          <w:szCs w:val="20"/>
        </w:rPr>
        <w:t>ould</w:t>
      </w:r>
      <w:r w:rsidRPr="00EC3B28">
        <w:rPr>
          <w:rFonts w:eastAsiaTheme="minorEastAsia"/>
          <w:sz w:val="20"/>
          <w:szCs w:val="20"/>
        </w:rPr>
        <w:t xml:space="preserve"> be analysed analysed together with a pure solution of the analyte. </w:t>
      </w:r>
    </w:p>
    <w:p w14:paraId="04554119" w14:textId="77777777" w:rsidR="00A73D5E" w:rsidRPr="00EC3B28" w:rsidRDefault="00A73D5E" w:rsidP="00A73D5E">
      <w:pPr>
        <w:spacing w:after="0"/>
        <w:rPr>
          <w:rFonts w:eastAsiaTheme="minorEastAsia"/>
          <w:sz w:val="20"/>
          <w:szCs w:val="20"/>
        </w:rPr>
      </w:pPr>
      <w:r w:rsidRPr="00EC3B28">
        <w:rPr>
          <w:rFonts w:eastAsiaTheme="minorEastAsia"/>
          <w:sz w:val="20"/>
          <w:szCs w:val="20"/>
        </w:rPr>
        <w:t>The relative matrix effect or matrix factor (MF) is calculated as:</w:t>
      </w:r>
    </w:p>
    <w:p w14:paraId="130B0E51" w14:textId="77777777" w:rsidR="00A73D5E" w:rsidRPr="00EC3B28" w:rsidRDefault="00A73D5E" w:rsidP="00A73D5E">
      <w:pPr>
        <w:spacing w:after="0"/>
        <w:rPr>
          <w:rFonts w:eastAsiaTheme="minorEastAsia"/>
          <w:sz w:val="20"/>
          <w:szCs w:val="20"/>
        </w:rPr>
      </w:pPr>
    </w:p>
    <w:p w14:paraId="2A31009C" w14:textId="77777777" w:rsidR="00A73D5E" w:rsidRPr="00EC3B28" w:rsidRDefault="00A73D5E" w:rsidP="00A73D5E">
      <w:pPr>
        <w:spacing w:after="0"/>
        <w:rPr>
          <w:rFonts w:eastAsiaTheme="minorEastAsia"/>
          <w:sz w:val="20"/>
          <w:szCs w:val="20"/>
        </w:rPr>
      </w:pPr>
      <w:r w:rsidRPr="00EC3B28">
        <w:rPr>
          <w:rFonts w:eastAsiaTheme="minorEastAsia"/>
          <w:sz w:val="20"/>
          <w:szCs w:val="20"/>
        </w:rPr>
        <w:t>MF (standard) = (</w:t>
      </w:r>
      <w:r w:rsidRPr="00EC3B28">
        <w:rPr>
          <w:rFonts w:ascii="Cambria Math" w:eastAsiaTheme="minorEastAsia" w:hAnsi="Cambria Math" w:cs="Cambria Math"/>
          <w:sz w:val="20"/>
          <w:szCs w:val="20"/>
        </w:rPr>
        <w:t>𝑎𝑟𝑒𝑎</w:t>
      </w:r>
      <w:r w:rsidRPr="00EC3B28">
        <w:rPr>
          <w:rFonts w:eastAsiaTheme="minorEastAsia"/>
          <w:sz w:val="20"/>
          <w:szCs w:val="20"/>
        </w:rPr>
        <w:t xml:space="preserve"> </w:t>
      </w:r>
      <w:r w:rsidRPr="00EC3B28">
        <w:rPr>
          <w:rFonts w:ascii="Cambria Math" w:eastAsiaTheme="minorEastAsia" w:hAnsi="Cambria Math" w:cs="Cambria Math"/>
          <w:sz w:val="20"/>
          <w:szCs w:val="20"/>
        </w:rPr>
        <w:t>𝑀𝑀𝑆</w:t>
      </w:r>
      <w:r w:rsidRPr="00EC3B28">
        <w:rPr>
          <w:rFonts w:eastAsiaTheme="minorEastAsia"/>
          <w:sz w:val="20"/>
          <w:szCs w:val="20"/>
        </w:rPr>
        <w:t xml:space="preserve"> standard) /</w:t>
      </w:r>
    </w:p>
    <w:p w14:paraId="34F12994" w14:textId="77777777" w:rsidR="00A73D5E" w:rsidRPr="00EC3B28" w:rsidRDefault="00A73D5E" w:rsidP="00A73D5E">
      <w:pPr>
        <w:spacing w:after="0"/>
        <w:rPr>
          <w:rFonts w:eastAsiaTheme="minorEastAsia"/>
          <w:sz w:val="20"/>
          <w:szCs w:val="20"/>
        </w:rPr>
      </w:pPr>
      <w:r w:rsidRPr="00EC3B28">
        <w:rPr>
          <w:rFonts w:eastAsiaTheme="minorEastAsia"/>
          <w:sz w:val="20"/>
          <w:szCs w:val="20"/>
        </w:rPr>
        <w:t xml:space="preserve">    (</w:t>
      </w:r>
      <w:r w:rsidRPr="00EC3B28">
        <w:rPr>
          <w:rFonts w:ascii="Cambria Math" w:eastAsiaTheme="minorEastAsia" w:hAnsi="Cambria Math" w:cs="Cambria Math"/>
          <w:sz w:val="20"/>
          <w:szCs w:val="20"/>
        </w:rPr>
        <w:t>𝑎𝑟𝑒𝑎</w:t>
      </w:r>
      <w:r w:rsidRPr="00EC3B28">
        <w:rPr>
          <w:rFonts w:eastAsiaTheme="minorEastAsia"/>
          <w:sz w:val="20"/>
          <w:szCs w:val="20"/>
        </w:rPr>
        <w:t xml:space="preserve"> </w:t>
      </w:r>
      <w:r w:rsidRPr="00EC3B28">
        <w:rPr>
          <w:rFonts w:ascii="Cambria Math" w:eastAsiaTheme="minorEastAsia" w:hAnsi="Cambria Math" w:cs="Cambria Math"/>
          <w:sz w:val="20"/>
          <w:szCs w:val="20"/>
        </w:rPr>
        <w:t>𝑠𝑜𝑙𝑢𝑡𝑖𝑜𝑛</w:t>
      </w:r>
      <w:r w:rsidRPr="00EC3B28">
        <w:rPr>
          <w:rFonts w:eastAsiaTheme="minorEastAsia"/>
          <w:sz w:val="20"/>
          <w:szCs w:val="20"/>
        </w:rPr>
        <w:t xml:space="preserve"> standard)</w:t>
      </w:r>
    </w:p>
    <w:p w14:paraId="22D4E27E" w14:textId="77777777" w:rsidR="00A73D5E" w:rsidRPr="00EC3B28" w:rsidRDefault="00A73D5E" w:rsidP="00A73D5E">
      <w:pPr>
        <w:spacing w:after="0"/>
        <w:rPr>
          <w:rFonts w:eastAsiaTheme="minorEastAsia"/>
          <w:sz w:val="20"/>
          <w:szCs w:val="20"/>
        </w:rPr>
      </w:pPr>
    </w:p>
    <w:p w14:paraId="5C01B970" w14:textId="77777777" w:rsidR="00A73D5E" w:rsidRPr="00EC3B28" w:rsidRDefault="00A73D5E" w:rsidP="00A73D5E">
      <w:pPr>
        <w:spacing w:after="0"/>
        <w:rPr>
          <w:rFonts w:eastAsiaTheme="minorEastAsia"/>
          <w:sz w:val="20"/>
          <w:szCs w:val="20"/>
        </w:rPr>
      </w:pPr>
      <w:r w:rsidRPr="00EC3B28">
        <w:rPr>
          <w:rFonts w:eastAsiaTheme="minorEastAsia"/>
          <w:sz w:val="20"/>
          <w:szCs w:val="20"/>
        </w:rPr>
        <w:t>MF (IS) =   (</w:t>
      </w:r>
      <w:r w:rsidRPr="00EC3B28">
        <w:rPr>
          <w:rFonts w:ascii="Cambria Math" w:eastAsiaTheme="minorEastAsia" w:hAnsi="Cambria Math" w:cs="Cambria Math"/>
          <w:sz w:val="20"/>
          <w:szCs w:val="20"/>
        </w:rPr>
        <w:t>𝑎𝑟𝑒𝑎</w:t>
      </w:r>
      <w:r w:rsidRPr="00EC3B28">
        <w:rPr>
          <w:rFonts w:eastAsiaTheme="minorEastAsia"/>
          <w:sz w:val="20"/>
          <w:szCs w:val="20"/>
        </w:rPr>
        <w:t xml:space="preserve"> </w:t>
      </w:r>
      <w:r w:rsidRPr="00EC3B28">
        <w:rPr>
          <w:rFonts w:ascii="Cambria Math" w:eastAsiaTheme="minorEastAsia" w:hAnsi="Cambria Math" w:cs="Cambria Math"/>
          <w:sz w:val="20"/>
          <w:szCs w:val="20"/>
        </w:rPr>
        <w:t>𝑀𝑀𝑆</w:t>
      </w:r>
      <w:r w:rsidRPr="00EC3B28">
        <w:rPr>
          <w:rFonts w:eastAsiaTheme="minorEastAsia"/>
          <w:sz w:val="20"/>
          <w:szCs w:val="20"/>
        </w:rPr>
        <w:t xml:space="preserve"> </w:t>
      </w:r>
      <w:r w:rsidRPr="00EC3B28">
        <w:rPr>
          <w:rFonts w:ascii="Cambria Math" w:eastAsiaTheme="minorEastAsia" w:hAnsi="Cambria Math" w:cs="Cambria Math"/>
          <w:sz w:val="20"/>
          <w:szCs w:val="20"/>
        </w:rPr>
        <w:t>𝐼𝑆</w:t>
      </w:r>
      <w:r w:rsidRPr="00EC3B28">
        <w:rPr>
          <w:rFonts w:eastAsiaTheme="minorEastAsia"/>
          <w:sz w:val="20"/>
          <w:szCs w:val="20"/>
        </w:rPr>
        <w:t>) /</w:t>
      </w:r>
    </w:p>
    <w:p w14:paraId="4933EA55" w14:textId="77777777" w:rsidR="00A73D5E" w:rsidRPr="00EC3B28" w:rsidRDefault="00A73D5E" w:rsidP="00A73D5E">
      <w:pPr>
        <w:spacing w:after="0"/>
        <w:rPr>
          <w:rFonts w:eastAsiaTheme="minorEastAsia"/>
          <w:sz w:val="20"/>
          <w:szCs w:val="20"/>
        </w:rPr>
      </w:pPr>
      <w:r w:rsidRPr="00EC3B28">
        <w:rPr>
          <w:rFonts w:eastAsiaTheme="minorEastAsia"/>
          <w:sz w:val="20"/>
          <w:szCs w:val="20"/>
        </w:rPr>
        <w:t xml:space="preserve">       (</w:t>
      </w:r>
      <w:r w:rsidRPr="00EC3B28">
        <w:rPr>
          <w:rFonts w:ascii="Cambria Math" w:eastAsiaTheme="minorEastAsia" w:hAnsi="Cambria Math" w:cs="Cambria Math"/>
          <w:sz w:val="20"/>
          <w:szCs w:val="20"/>
        </w:rPr>
        <w:t>𝑎𝑟𝑒𝑎</w:t>
      </w:r>
      <w:r w:rsidRPr="00EC3B28">
        <w:rPr>
          <w:rFonts w:eastAsiaTheme="minorEastAsia"/>
          <w:sz w:val="20"/>
          <w:szCs w:val="20"/>
        </w:rPr>
        <w:t xml:space="preserve"> </w:t>
      </w:r>
      <w:r w:rsidRPr="00EC3B28">
        <w:rPr>
          <w:rFonts w:ascii="Cambria Math" w:eastAsiaTheme="minorEastAsia" w:hAnsi="Cambria Math" w:cs="Cambria Math"/>
          <w:sz w:val="20"/>
          <w:szCs w:val="20"/>
        </w:rPr>
        <w:t>𝑠𝑜𝑙𝑢𝑡𝑖𝑜𝑛</w:t>
      </w:r>
      <w:r w:rsidRPr="00EC3B28">
        <w:rPr>
          <w:rFonts w:eastAsiaTheme="minorEastAsia"/>
          <w:sz w:val="20"/>
          <w:szCs w:val="20"/>
        </w:rPr>
        <w:t xml:space="preserve"> </w:t>
      </w:r>
      <w:r w:rsidRPr="00EC3B28">
        <w:rPr>
          <w:rFonts w:ascii="Cambria Math" w:eastAsiaTheme="minorEastAsia" w:hAnsi="Cambria Math" w:cs="Cambria Math"/>
          <w:sz w:val="20"/>
          <w:szCs w:val="20"/>
        </w:rPr>
        <w:t>𝐼𝑆</w:t>
      </w:r>
      <w:r w:rsidRPr="00EC3B28">
        <w:rPr>
          <w:rFonts w:eastAsiaTheme="minorEastAsia"/>
          <w:sz w:val="20"/>
          <w:szCs w:val="20"/>
        </w:rPr>
        <w:t>)</w:t>
      </w:r>
    </w:p>
    <w:p w14:paraId="67B1A740" w14:textId="77777777" w:rsidR="00A73D5E" w:rsidRPr="00EC3B28" w:rsidRDefault="00A73D5E" w:rsidP="00A73D5E">
      <w:pPr>
        <w:spacing w:after="0"/>
        <w:rPr>
          <w:rFonts w:eastAsiaTheme="minorEastAsia"/>
          <w:sz w:val="20"/>
          <w:szCs w:val="20"/>
        </w:rPr>
      </w:pPr>
    </w:p>
    <w:p w14:paraId="256A436E" w14:textId="77777777" w:rsidR="00A73D5E" w:rsidRPr="00EC3B28" w:rsidRDefault="00A73D5E" w:rsidP="00A73D5E">
      <w:pPr>
        <w:spacing w:after="0"/>
        <w:rPr>
          <w:sz w:val="20"/>
          <w:szCs w:val="20"/>
        </w:rPr>
      </w:pPr>
      <w:r w:rsidRPr="00EC3B28">
        <w:rPr>
          <w:rFonts w:eastAsiaTheme="minorEastAsia"/>
          <w:sz w:val="20"/>
          <w:szCs w:val="20"/>
        </w:rPr>
        <w:t>MF (standard normalised for IS) = (</w:t>
      </w:r>
      <w:r w:rsidRPr="00EC3B28">
        <w:rPr>
          <w:rFonts w:ascii="Cambria Math" w:eastAsiaTheme="minorEastAsia" w:hAnsi="Cambria Math" w:cs="Cambria Math"/>
          <w:sz w:val="20"/>
          <w:szCs w:val="20"/>
        </w:rPr>
        <w:t>𝑀𝐹</w:t>
      </w:r>
      <w:r w:rsidRPr="00EC3B28">
        <w:rPr>
          <w:rFonts w:eastAsiaTheme="minorEastAsia"/>
          <w:sz w:val="20"/>
          <w:szCs w:val="20"/>
        </w:rPr>
        <w:t xml:space="preserve"> (</w:t>
      </w:r>
      <w:r w:rsidRPr="00EC3B28">
        <w:rPr>
          <w:rFonts w:ascii="Cambria Math" w:eastAsiaTheme="minorEastAsia" w:hAnsi="Cambria Math" w:cs="Cambria Math"/>
          <w:sz w:val="20"/>
          <w:szCs w:val="20"/>
        </w:rPr>
        <w:t>𝑠𝑡𝑎𝑛𝑑𝑎𝑟𝑑</w:t>
      </w:r>
      <w:r w:rsidRPr="00EC3B28">
        <w:rPr>
          <w:rFonts w:eastAsiaTheme="minorEastAsia"/>
          <w:sz w:val="20"/>
          <w:szCs w:val="20"/>
        </w:rPr>
        <w:t>)) / (</w:t>
      </w:r>
      <w:r w:rsidRPr="00EC3B28">
        <w:rPr>
          <w:rFonts w:ascii="Cambria Math" w:eastAsiaTheme="minorEastAsia" w:hAnsi="Cambria Math" w:cs="Cambria Math"/>
          <w:sz w:val="20"/>
          <w:szCs w:val="20"/>
        </w:rPr>
        <w:t>𝑀𝐹</w:t>
      </w:r>
      <w:r w:rsidRPr="00EC3B28">
        <w:rPr>
          <w:sz w:val="20"/>
          <w:szCs w:val="20"/>
        </w:rPr>
        <w:t xml:space="preserve"> (</w:t>
      </w:r>
      <w:r w:rsidRPr="00EC3B28">
        <w:rPr>
          <w:rFonts w:ascii="Cambria Math" w:eastAsiaTheme="minorEastAsia" w:hAnsi="Cambria Math" w:cs="Cambria Math"/>
          <w:sz w:val="20"/>
          <w:szCs w:val="20"/>
        </w:rPr>
        <w:t>𝐼𝑆</w:t>
      </w:r>
      <w:r w:rsidRPr="00EC3B28">
        <w:rPr>
          <w:sz w:val="20"/>
          <w:szCs w:val="20"/>
        </w:rPr>
        <w:t>))</w:t>
      </w:r>
    </w:p>
    <w:p w14:paraId="78A98C21" w14:textId="77777777" w:rsidR="00A73D5E" w:rsidRPr="00EC3B28" w:rsidRDefault="00A73D5E" w:rsidP="00A73D5E">
      <w:pPr>
        <w:spacing w:after="0"/>
        <w:rPr>
          <w:sz w:val="20"/>
          <w:szCs w:val="20"/>
        </w:rPr>
      </w:pPr>
    </w:p>
    <w:p w14:paraId="1B71BE88" w14:textId="77777777" w:rsidR="00A73D5E" w:rsidRPr="00EC3B28" w:rsidRDefault="00A73D5E" w:rsidP="00A73D5E">
      <w:pPr>
        <w:spacing w:after="0"/>
        <w:rPr>
          <w:rFonts w:eastAsiaTheme="minorEastAsia"/>
          <w:sz w:val="20"/>
          <w:szCs w:val="20"/>
        </w:rPr>
      </w:pPr>
      <w:r w:rsidRPr="00EC3B28">
        <w:rPr>
          <w:rFonts w:eastAsiaTheme="minorEastAsia"/>
          <w:sz w:val="20"/>
          <w:szCs w:val="20"/>
        </w:rPr>
        <w:t>IS: internal standard</w:t>
      </w:r>
    </w:p>
    <w:p w14:paraId="75A73AA6" w14:textId="77777777" w:rsidR="00A73D5E" w:rsidRPr="00EC3B28" w:rsidRDefault="00A73D5E" w:rsidP="00A73D5E">
      <w:pPr>
        <w:spacing w:after="0"/>
        <w:rPr>
          <w:rFonts w:eastAsiaTheme="minorEastAsia"/>
          <w:sz w:val="20"/>
          <w:szCs w:val="20"/>
        </w:rPr>
      </w:pPr>
      <w:r w:rsidRPr="00EC3B28">
        <w:rPr>
          <w:rFonts w:eastAsiaTheme="minorEastAsia"/>
          <w:sz w:val="20"/>
          <w:szCs w:val="20"/>
        </w:rPr>
        <w:t>MMS: matrix-matched standard</w:t>
      </w:r>
    </w:p>
    <w:p w14:paraId="2B81EAF1" w14:textId="77777777" w:rsidR="00A73D5E" w:rsidRPr="00EC3B28" w:rsidRDefault="00A73D5E" w:rsidP="00A73D5E">
      <w:pPr>
        <w:spacing w:after="0"/>
        <w:rPr>
          <w:rFonts w:eastAsiaTheme="minorEastAsia"/>
          <w:sz w:val="20"/>
          <w:szCs w:val="20"/>
        </w:rPr>
      </w:pPr>
    </w:p>
    <w:p w14:paraId="321EE41D" w14:textId="77777777" w:rsidR="00A73D5E" w:rsidRPr="00EC3B28" w:rsidRDefault="00A73D5E" w:rsidP="00A73D5E">
      <w:pPr>
        <w:spacing w:after="0"/>
        <w:rPr>
          <w:rFonts w:eastAsiaTheme="minorEastAsia"/>
          <w:sz w:val="20"/>
          <w:szCs w:val="20"/>
        </w:rPr>
      </w:pPr>
      <w:r w:rsidRPr="00EC3B28">
        <w:rPr>
          <w:rFonts w:eastAsiaTheme="minorEastAsia"/>
          <w:sz w:val="20"/>
          <w:szCs w:val="20"/>
        </w:rPr>
        <w:t>The coefficient of variation shall not be greater than 20 % for the MF (standard normalised for IS).</w:t>
      </w:r>
    </w:p>
    <w:p w14:paraId="6621E7BA" w14:textId="77777777" w:rsidR="00A73D5E" w:rsidRPr="00EC3B28" w:rsidRDefault="00A73D5E" w:rsidP="00A73D5E">
      <w:pPr>
        <w:spacing w:after="0"/>
        <w:rPr>
          <w:rFonts w:eastAsia="Calibri"/>
          <w:sz w:val="20"/>
          <w:szCs w:val="20"/>
        </w:rPr>
      </w:pPr>
    </w:p>
    <w:p w14:paraId="6606388B" w14:textId="217CCD6F" w:rsidR="00A73D5E" w:rsidRPr="0093298D" w:rsidRDefault="00A73D5E" w:rsidP="00A73D5E">
      <w:pPr>
        <w:pStyle w:val="Heading1"/>
        <w:rPr>
          <w:rFonts w:ascii="Times New Roman" w:hAnsi="Times New Roman" w:cs="Times New Roman"/>
          <w:sz w:val="24"/>
          <w:szCs w:val="24"/>
        </w:rPr>
      </w:pPr>
      <w:bookmarkStart w:id="71" w:name="_Toc535221060"/>
      <w:bookmarkStart w:id="72" w:name="_Toc5193413"/>
      <w:r w:rsidRPr="0093298D">
        <w:rPr>
          <w:rFonts w:ascii="Times New Roman" w:hAnsi="Times New Roman" w:cs="Times New Roman"/>
          <w:color w:val="000000" w:themeColor="text1"/>
          <w:sz w:val="24"/>
          <w:szCs w:val="24"/>
        </w:rPr>
        <w:t>Chapter 3: quality control during routine analysis – ongoing method performance verification</w:t>
      </w:r>
      <w:bookmarkEnd w:id="71"/>
      <w:bookmarkEnd w:id="72"/>
    </w:p>
    <w:p w14:paraId="71697725" w14:textId="2D69B06A" w:rsidR="00A73D5E" w:rsidRPr="00EC3B28" w:rsidRDefault="00A73D5E" w:rsidP="00A73D5E">
      <w:pPr>
        <w:spacing w:after="0"/>
        <w:rPr>
          <w:rFonts w:eastAsia="Calibri"/>
          <w:sz w:val="20"/>
          <w:szCs w:val="20"/>
        </w:rPr>
      </w:pPr>
      <w:r w:rsidRPr="00EC3B28">
        <w:rPr>
          <w:rFonts w:eastAsia="Calibri"/>
          <w:sz w:val="20"/>
          <w:szCs w:val="20"/>
        </w:rPr>
        <w:t xml:space="preserve">The requirements </w:t>
      </w:r>
      <w:r w:rsidR="00932061">
        <w:rPr>
          <w:rFonts w:eastAsia="Calibri"/>
          <w:sz w:val="20"/>
          <w:szCs w:val="20"/>
        </w:rPr>
        <w:t xml:space="preserve">for </w:t>
      </w:r>
      <w:r w:rsidRPr="00EC3B28">
        <w:rPr>
          <w:rFonts w:eastAsia="Calibri"/>
          <w:sz w:val="20"/>
          <w:szCs w:val="20"/>
        </w:rPr>
        <w:t>assuring the quality of analytical results of chapter 7.7 ISO 17025</w:t>
      </w:r>
      <w:bookmarkStart w:id="73" w:name="_Ref6916393"/>
      <w:r w:rsidR="00C64494">
        <w:rPr>
          <w:rFonts w:eastAsia="Calibri"/>
          <w:sz w:val="20"/>
          <w:szCs w:val="20"/>
        </w:rPr>
        <w:t>:2017</w:t>
      </w:r>
      <w:r w:rsidR="00757B38">
        <w:rPr>
          <w:rStyle w:val="FootnoteReference"/>
          <w:rFonts w:eastAsia="Calibri"/>
          <w:sz w:val="20"/>
          <w:szCs w:val="20"/>
        </w:rPr>
        <w:footnoteReference w:id="13"/>
      </w:r>
      <w:bookmarkEnd w:id="73"/>
      <w:r w:rsidRPr="00EC3B28">
        <w:rPr>
          <w:rFonts w:eastAsia="Calibri"/>
          <w:sz w:val="20"/>
          <w:szCs w:val="20"/>
        </w:rPr>
        <w:t xml:space="preserve"> shall be complied with. </w:t>
      </w:r>
    </w:p>
    <w:p w14:paraId="5EA70DBB" w14:textId="7420A465" w:rsidR="00A73D5E" w:rsidRPr="00EC3B28" w:rsidRDefault="00A73D5E" w:rsidP="00A73D5E">
      <w:pPr>
        <w:spacing w:after="0"/>
        <w:rPr>
          <w:rFonts w:eastAsia="Calibri"/>
          <w:sz w:val="20"/>
          <w:szCs w:val="20"/>
        </w:rPr>
      </w:pPr>
      <w:r w:rsidRPr="00EC3B28">
        <w:rPr>
          <w:rFonts w:eastAsia="Calibri"/>
          <w:sz w:val="20"/>
          <w:szCs w:val="20"/>
        </w:rPr>
        <w:t xml:space="preserve">During routine analysis, the analysis of certified reference materials (CRMs) is the preferable option to provide evidence of method performance. Since CRMs that contain the relevant analytes at the required concentration levels are seldom available, also reference materials provided and characterised by the EURLs </w:t>
      </w:r>
      <w:r w:rsidR="00932061">
        <w:rPr>
          <w:rFonts w:eastAsia="Calibri"/>
          <w:sz w:val="20"/>
          <w:szCs w:val="20"/>
        </w:rPr>
        <w:t xml:space="preserve">or laboratories that have ISO 17043 accreditation </w:t>
      </w:r>
      <w:r w:rsidRPr="00EC3B28">
        <w:rPr>
          <w:rFonts w:eastAsia="Calibri"/>
          <w:sz w:val="20"/>
          <w:szCs w:val="20"/>
        </w:rPr>
        <w:t xml:space="preserve">may be used </w:t>
      </w:r>
      <w:r w:rsidR="00C625BD">
        <w:rPr>
          <w:rFonts w:eastAsia="Calibri"/>
          <w:sz w:val="20"/>
          <w:szCs w:val="20"/>
        </w:rPr>
        <w:t xml:space="preserve">as </w:t>
      </w:r>
      <w:r w:rsidRPr="00EC3B28">
        <w:rPr>
          <w:rFonts w:eastAsia="Calibri"/>
          <w:sz w:val="20"/>
          <w:szCs w:val="20"/>
        </w:rPr>
        <w:t>an alternative. As another alternative in-house reference material</w:t>
      </w:r>
      <w:r w:rsidR="00C625BD">
        <w:rPr>
          <w:rFonts w:eastAsia="Calibri"/>
          <w:sz w:val="20"/>
          <w:szCs w:val="20"/>
        </w:rPr>
        <w:t>s</w:t>
      </w:r>
      <w:r w:rsidRPr="00EC3B28">
        <w:rPr>
          <w:rFonts w:eastAsia="Calibri"/>
          <w:sz w:val="20"/>
          <w:szCs w:val="20"/>
        </w:rPr>
        <w:t xml:space="preserve">, which are controlled regularly, may be used. </w:t>
      </w:r>
    </w:p>
    <w:p w14:paraId="647DA2FA" w14:textId="77777777" w:rsidR="00A73D5E" w:rsidRPr="00EC3B28" w:rsidRDefault="00A73D5E" w:rsidP="00A73D5E">
      <w:pPr>
        <w:spacing w:after="0"/>
        <w:rPr>
          <w:rFonts w:eastAsia="Calibri"/>
          <w:sz w:val="20"/>
          <w:szCs w:val="20"/>
        </w:rPr>
      </w:pPr>
      <w:r w:rsidRPr="00EC3B28">
        <w:rPr>
          <w:rFonts w:eastAsia="Calibri"/>
          <w:sz w:val="20"/>
          <w:szCs w:val="20"/>
        </w:rPr>
        <w:t>For each series (batch) of analyses performed, a set of the following quality control samples, shall be simultaneously analysed:</w:t>
      </w:r>
    </w:p>
    <w:p w14:paraId="7C8804AA" w14:textId="09507E41" w:rsidR="00A73D5E" w:rsidRPr="00725F0F" w:rsidRDefault="00A73D5E" w:rsidP="005F53E1">
      <w:pPr>
        <w:pStyle w:val="ListParagraph"/>
        <w:numPr>
          <w:ilvl w:val="0"/>
          <w:numId w:val="20"/>
        </w:numPr>
        <w:spacing w:after="0" w:line="276" w:lineRule="auto"/>
        <w:rPr>
          <w:rFonts w:eastAsia="Calibri"/>
          <w:sz w:val="20"/>
          <w:szCs w:val="20"/>
        </w:rPr>
      </w:pPr>
      <w:r w:rsidRPr="00725F0F">
        <w:rPr>
          <w:rFonts w:eastAsia="Calibri"/>
          <w:sz w:val="20"/>
          <w:szCs w:val="20"/>
        </w:rPr>
        <w:t>control sample</w:t>
      </w:r>
      <w:r w:rsidR="00CD463A" w:rsidRPr="00725F0F">
        <w:rPr>
          <w:rFonts w:eastAsia="Calibri"/>
          <w:sz w:val="20"/>
          <w:szCs w:val="20"/>
        </w:rPr>
        <w:t xml:space="preserve"> for system suitability of the instrument</w:t>
      </w:r>
      <w:r w:rsidRPr="00725F0F">
        <w:rPr>
          <w:rFonts w:eastAsia="Calibri"/>
          <w:sz w:val="20"/>
          <w:szCs w:val="20"/>
        </w:rPr>
        <w:t>, ideally method specific,</w:t>
      </w:r>
    </w:p>
    <w:p w14:paraId="0927D77C" w14:textId="6DB6E28E" w:rsidR="00A73D5E" w:rsidRPr="00725F0F" w:rsidRDefault="00725F0F" w:rsidP="005F53E1">
      <w:pPr>
        <w:pStyle w:val="ListParagraph"/>
        <w:numPr>
          <w:ilvl w:val="0"/>
          <w:numId w:val="20"/>
        </w:numPr>
        <w:spacing w:after="0" w:line="276" w:lineRule="auto"/>
        <w:rPr>
          <w:rFonts w:eastAsia="Calibri"/>
          <w:sz w:val="20"/>
          <w:szCs w:val="20"/>
        </w:rPr>
      </w:pPr>
      <w:r>
        <w:rPr>
          <w:rFonts w:eastAsia="Calibri"/>
          <w:sz w:val="20"/>
          <w:szCs w:val="20"/>
        </w:rPr>
        <w:t>q</w:t>
      </w:r>
      <w:r w:rsidR="00A73D5E" w:rsidRPr="00725F0F">
        <w:rPr>
          <w:rFonts w:eastAsia="Calibri"/>
          <w:sz w:val="20"/>
          <w:szCs w:val="20"/>
        </w:rPr>
        <w:t>uality control samples which are spiked (fortified) at a concentration close to the MRL or ML for authorised pharmacologically active substances or close to the RPA or LCL for prohibited or unauthorised substances,</w:t>
      </w:r>
    </w:p>
    <w:p w14:paraId="58826EE9" w14:textId="33C62573" w:rsidR="00A73D5E" w:rsidRPr="00725F0F" w:rsidRDefault="00725F0F" w:rsidP="005F53E1">
      <w:pPr>
        <w:pStyle w:val="ListParagraph"/>
        <w:numPr>
          <w:ilvl w:val="0"/>
          <w:numId w:val="20"/>
        </w:numPr>
        <w:spacing w:after="0" w:line="276" w:lineRule="auto"/>
        <w:rPr>
          <w:rFonts w:eastAsia="Calibri"/>
          <w:sz w:val="20"/>
          <w:szCs w:val="20"/>
        </w:rPr>
      </w:pPr>
      <w:r>
        <w:rPr>
          <w:rFonts w:eastAsia="Calibri"/>
          <w:sz w:val="20"/>
          <w:szCs w:val="20"/>
        </w:rPr>
        <w:t>c</w:t>
      </w:r>
      <w:r w:rsidR="00A73D5E" w:rsidRPr="00725F0F">
        <w:rPr>
          <w:rFonts w:eastAsia="Calibri"/>
          <w:sz w:val="20"/>
          <w:szCs w:val="20"/>
        </w:rPr>
        <w:t>ompliant control sample (blank samples), and,</w:t>
      </w:r>
    </w:p>
    <w:p w14:paraId="1EE5C9B2" w14:textId="12DB808C" w:rsidR="00A73D5E" w:rsidRPr="00725F0F" w:rsidRDefault="00725F0F" w:rsidP="005F53E1">
      <w:pPr>
        <w:pStyle w:val="ListParagraph"/>
        <w:numPr>
          <w:ilvl w:val="0"/>
          <w:numId w:val="20"/>
        </w:numPr>
        <w:spacing w:after="0" w:line="276" w:lineRule="auto"/>
        <w:rPr>
          <w:rFonts w:eastAsia="Calibri"/>
          <w:sz w:val="20"/>
          <w:szCs w:val="20"/>
        </w:rPr>
      </w:pPr>
      <w:r>
        <w:rPr>
          <w:rFonts w:eastAsia="Calibri"/>
          <w:sz w:val="20"/>
          <w:szCs w:val="20"/>
        </w:rPr>
        <w:t>r</w:t>
      </w:r>
      <w:r w:rsidR="00A73D5E" w:rsidRPr="00725F0F">
        <w:rPr>
          <w:rFonts w:eastAsia="Calibri"/>
          <w:sz w:val="20"/>
          <w:szCs w:val="20"/>
        </w:rPr>
        <w:t>eagent blanks.</w:t>
      </w:r>
    </w:p>
    <w:p w14:paraId="70777E77" w14:textId="77777777" w:rsidR="00A73D5E" w:rsidRPr="00EC3B28" w:rsidRDefault="00A73D5E" w:rsidP="00725F0F">
      <w:pPr>
        <w:spacing w:after="0"/>
        <w:rPr>
          <w:rFonts w:eastAsia="Calibri"/>
          <w:sz w:val="20"/>
          <w:szCs w:val="20"/>
        </w:rPr>
      </w:pPr>
    </w:p>
    <w:p w14:paraId="333B7C0A" w14:textId="20E100BE" w:rsidR="00A73D5E" w:rsidRPr="00EC3B28" w:rsidRDefault="00A73D5E" w:rsidP="00A73D5E">
      <w:pPr>
        <w:spacing w:after="0"/>
        <w:rPr>
          <w:rFonts w:eastAsia="Calibri"/>
          <w:sz w:val="20"/>
          <w:szCs w:val="20"/>
        </w:rPr>
      </w:pPr>
      <w:r w:rsidRPr="00EC3B28">
        <w:rPr>
          <w:rFonts w:eastAsia="Calibri"/>
          <w:sz w:val="20"/>
          <w:szCs w:val="20"/>
        </w:rPr>
        <w:t xml:space="preserve">The following order is recommended for the quality control samples: </w:t>
      </w:r>
      <w:r w:rsidR="00CD463A" w:rsidRPr="00EC3B28">
        <w:rPr>
          <w:rFonts w:eastAsia="Calibri"/>
          <w:sz w:val="20"/>
          <w:szCs w:val="20"/>
        </w:rPr>
        <w:t>control sample</w:t>
      </w:r>
      <w:r w:rsidR="00CD463A">
        <w:rPr>
          <w:rFonts w:eastAsia="Calibri"/>
          <w:sz w:val="20"/>
          <w:szCs w:val="20"/>
        </w:rPr>
        <w:t xml:space="preserve"> for system suitability of the instrument</w:t>
      </w:r>
      <w:r w:rsidR="00CD463A" w:rsidRPr="00EC3B28" w:rsidDel="00CD463A">
        <w:rPr>
          <w:rFonts w:eastAsia="Calibri"/>
          <w:sz w:val="20"/>
          <w:szCs w:val="20"/>
        </w:rPr>
        <w:t xml:space="preserve"> </w:t>
      </w:r>
      <w:r w:rsidRPr="00EC3B28">
        <w:rPr>
          <w:rFonts w:eastAsia="Calibri"/>
          <w:sz w:val="20"/>
          <w:szCs w:val="20"/>
        </w:rPr>
        <w:t xml:space="preserve">sample, reagent blank, compliant control sample, sample(s) to be confirmed, compliant control sample again and fortified quality control sample. </w:t>
      </w:r>
    </w:p>
    <w:p w14:paraId="0C125930" w14:textId="728EFDE3" w:rsidR="00A73D5E" w:rsidRPr="00EC3B28" w:rsidRDefault="00A73D5E" w:rsidP="00A73D5E">
      <w:pPr>
        <w:spacing w:after="0"/>
        <w:rPr>
          <w:rFonts w:eastAsia="Calibri"/>
          <w:sz w:val="20"/>
          <w:szCs w:val="20"/>
        </w:rPr>
      </w:pPr>
      <w:r w:rsidRPr="00EC3B28">
        <w:rPr>
          <w:rFonts w:eastAsia="Calibri"/>
          <w:sz w:val="20"/>
          <w:szCs w:val="20"/>
        </w:rPr>
        <w:t>For quantitative methods with each batch of official samples</w:t>
      </w:r>
      <w:r w:rsidR="00B265E2">
        <w:rPr>
          <w:rFonts w:eastAsia="Calibri"/>
          <w:sz w:val="20"/>
          <w:szCs w:val="20"/>
        </w:rPr>
        <w:t>,</w:t>
      </w:r>
      <w:r w:rsidRPr="00EC3B28">
        <w:rPr>
          <w:rFonts w:eastAsia="Calibri"/>
          <w:sz w:val="20"/>
          <w:szCs w:val="20"/>
        </w:rPr>
        <w:t xml:space="preserve"> a calibration curve shall be analysed and measured after and/or before the above listed samples.</w:t>
      </w:r>
    </w:p>
    <w:p w14:paraId="36F439D7" w14:textId="77777777" w:rsidR="00A73D5E" w:rsidRPr="00EC3B28" w:rsidRDefault="00A73D5E" w:rsidP="00A73D5E">
      <w:pPr>
        <w:spacing w:after="0"/>
        <w:rPr>
          <w:rFonts w:eastAsia="Calibri"/>
          <w:sz w:val="20"/>
          <w:szCs w:val="20"/>
        </w:rPr>
      </w:pPr>
    </w:p>
    <w:p w14:paraId="525BB7CF" w14:textId="63683EBC" w:rsidR="00A73D5E" w:rsidRPr="00EC3B28" w:rsidRDefault="00A73D5E" w:rsidP="00A73D5E">
      <w:pPr>
        <w:spacing w:after="0"/>
        <w:rPr>
          <w:rFonts w:eastAsia="Calibri"/>
          <w:sz w:val="20"/>
          <w:szCs w:val="20"/>
        </w:rPr>
      </w:pPr>
      <w:r w:rsidRPr="00EC3B28">
        <w:rPr>
          <w:rFonts w:eastAsia="Calibri"/>
          <w:sz w:val="20"/>
          <w:szCs w:val="20"/>
        </w:rPr>
        <w:t xml:space="preserve">Where practicable, </w:t>
      </w:r>
      <w:r w:rsidR="009A6568">
        <w:rPr>
          <w:rFonts w:eastAsia="Calibri"/>
          <w:sz w:val="20"/>
          <w:szCs w:val="20"/>
        </w:rPr>
        <w:t xml:space="preserve">trueness (on basis of fortified samples) </w:t>
      </w:r>
      <w:r w:rsidRPr="00EC3B28">
        <w:rPr>
          <w:rFonts w:eastAsia="Calibri"/>
          <w:sz w:val="20"/>
          <w:szCs w:val="20"/>
        </w:rPr>
        <w:t>of all target analytes in the non-compliant control samples shall be evaluated, by means of quality control charts in accordance with ISO 17025</w:t>
      </w:r>
      <w:r w:rsidR="00960C75" w:rsidRPr="00960C75">
        <w:rPr>
          <w:rFonts w:eastAsia="Calibri"/>
          <w:sz w:val="20"/>
          <w:szCs w:val="20"/>
          <w:vertAlign w:val="superscript"/>
        </w:rPr>
        <w:fldChar w:fldCharType="begin"/>
      </w:r>
      <w:r w:rsidR="00960C75" w:rsidRPr="00960C75">
        <w:rPr>
          <w:rFonts w:eastAsia="Calibri"/>
          <w:sz w:val="20"/>
          <w:szCs w:val="20"/>
          <w:vertAlign w:val="superscript"/>
        </w:rPr>
        <w:instrText xml:space="preserve"> NOTEREF _Ref6916393 \h </w:instrText>
      </w:r>
      <w:r w:rsidR="00960C75">
        <w:rPr>
          <w:rFonts w:eastAsia="Calibri"/>
          <w:sz w:val="20"/>
          <w:szCs w:val="20"/>
          <w:vertAlign w:val="superscript"/>
        </w:rPr>
        <w:instrText xml:space="preserve"> \* MERGEFORMAT </w:instrText>
      </w:r>
      <w:r w:rsidR="00960C75" w:rsidRPr="00960C75">
        <w:rPr>
          <w:rFonts w:eastAsia="Calibri"/>
          <w:sz w:val="20"/>
          <w:szCs w:val="20"/>
          <w:vertAlign w:val="superscript"/>
        </w:rPr>
      </w:r>
      <w:r w:rsidR="00960C75" w:rsidRPr="00960C75">
        <w:rPr>
          <w:rFonts w:eastAsia="Calibri"/>
          <w:sz w:val="20"/>
          <w:szCs w:val="20"/>
          <w:vertAlign w:val="superscript"/>
        </w:rPr>
        <w:fldChar w:fldCharType="separate"/>
      </w:r>
      <w:r w:rsidR="00A667D8">
        <w:rPr>
          <w:rFonts w:eastAsia="Calibri"/>
          <w:sz w:val="20"/>
          <w:szCs w:val="20"/>
          <w:vertAlign w:val="superscript"/>
        </w:rPr>
        <w:t>11</w:t>
      </w:r>
      <w:r w:rsidR="00960C75" w:rsidRPr="00960C75">
        <w:rPr>
          <w:rFonts w:eastAsia="Calibri"/>
          <w:sz w:val="20"/>
          <w:szCs w:val="20"/>
          <w:vertAlign w:val="superscript"/>
        </w:rPr>
        <w:fldChar w:fldCharType="end"/>
      </w:r>
      <w:r w:rsidRPr="00EC3B28">
        <w:rPr>
          <w:rFonts w:eastAsia="Calibri"/>
          <w:sz w:val="20"/>
          <w:szCs w:val="20"/>
        </w:rPr>
        <w:t xml:space="preserve"> chapter 7.7. If this requires a disproportionately large number of </w:t>
      </w:r>
      <w:r w:rsidR="009A6568">
        <w:rPr>
          <w:rFonts w:eastAsia="Calibri"/>
          <w:sz w:val="20"/>
          <w:szCs w:val="20"/>
        </w:rPr>
        <w:t>trueness</w:t>
      </w:r>
      <w:r w:rsidR="009A6568" w:rsidRPr="00EC3B28">
        <w:rPr>
          <w:rFonts w:eastAsia="Calibri"/>
          <w:sz w:val="20"/>
          <w:szCs w:val="20"/>
        </w:rPr>
        <w:t xml:space="preserve"> </w:t>
      </w:r>
      <w:r w:rsidRPr="00EC3B28">
        <w:rPr>
          <w:rFonts w:eastAsia="Calibri"/>
          <w:sz w:val="20"/>
          <w:szCs w:val="20"/>
        </w:rPr>
        <w:t>determinations, the number of analytes may be reduced to a number of representative analytes.</w:t>
      </w:r>
    </w:p>
    <w:p w14:paraId="66C2DCF7" w14:textId="48C7FB59" w:rsidR="00A73D5E" w:rsidRPr="00EC3B28" w:rsidRDefault="00A73D5E" w:rsidP="00A73D5E">
      <w:pPr>
        <w:spacing w:after="0"/>
        <w:rPr>
          <w:rFonts w:eastAsia="Calibri"/>
          <w:sz w:val="20"/>
          <w:szCs w:val="20"/>
        </w:rPr>
      </w:pPr>
    </w:p>
    <w:p w14:paraId="5CA3E55E" w14:textId="46B40177" w:rsidR="00A73D5E" w:rsidRPr="0093298D" w:rsidRDefault="00A73D5E" w:rsidP="00A73D5E">
      <w:pPr>
        <w:pStyle w:val="Heading1"/>
        <w:rPr>
          <w:rFonts w:ascii="Times New Roman" w:hAnsi="Times New Roman" w:cs="Times New Roman"/>
          <w:sz w:val="24"/>
          <w:szCs w:val="24"/>
        </w:rPr>
      </w:pPr>
      <w:bookmarkStart w:id="74" w:name="_Toc5193414"/>
      <w:r w:rsidRPr="0093298D">
        <w:rPr>
          <w:rFonts w:ascii="Times New Roman" w:hAnsi="Times New Roman" w:cs="Times New Roman"/>
          <w:color w:val="000000" w:themeColor="text1"/>
          <w:sz w:val="24"/>
          <w:szCs w:val="24"/>
        </w:rPr>
        <w:t>Chapter</w:t>
      </w:r>
      <w:r w:rsidR="00454730" w:rsidRPr="0093298D">
        <w:rPr>
          <w:rFonts w:ascii="Times New Roman" w:hAnsi="Times New Roman" w:cs="Times New Roman"/>
          <w:color w:val="000000" w:themeColor="text1"/>
          <w:sz w:val="24"/>
          <w:szCs w:val="24"/>
        </w:rPr>
        <w:t xml:space="preserve"> 4</w:t>
      </w:r>
      <w:r w:rsidRPr="0093298D">
        <w:rPr>
          <w:rFonts w:ascii="Times New Roman" w:hAnsi="Times New Roman" w:cs="Times New Roman"/>
          <w:color w:val="000000" w:themeColor="text1"/>
          <w:sz w:val="24"/>
          <w:szCs w:val="24"/>
        </w:rPr>
        <w:t>:  extension of the validated range of a previously validated method via quality control samples during routing analysis</w:t>
      </w:r>
      <w:bookmarkEnd w:id="74"/>
    </w:p>
    <w:p w14:paraId="16A327BC" w14:textId="77777777" w:rsidR="00A73D5E" w:rsidRPr="00EC3B28" w:rsidRDefault="00A73D5E" w:rsidP="00A73D5E">
      <w:pPr>
        <w:spacing w:after="0"/>
        <w:rPr>
          <w:rFonts w:eastAsia="Calibri"/>
          <w:sz w:val="20"/>
          <w:szCs w:val="20"/>
        </w:rPr>
      </w:pPr>
    </w:p>
    <w:p w14:paraId="0C380FF2" w14:textId="77777777" w:rsidR="00A73D5E" w:rsidRPr="00762DD7" w:rsidRDefault="00A73D5E" w:rsidP="00A73D5E">
      <w:pPr>
        <w:pStyle w:val="Heading3"/>
        <w:rPr>
          <w:rFonts w:ascii="Times New Roman" w:hAnsi="Times New Roman" w:cs="Times New Roman"/>
          <w:color w:val="000000" w:themeColor="text1"/>
          <w:sz w:val="20"/>
          <w:szCs w:val="20"/>
        </w:rPr>
      </w:pPr>
      <w:bookmarkStart w:id="75" w:name="_Toc5193415"/>
      <w:r w:rsidRPr="00762DD7">
        <w:rPr>
          <w:rFonts w:ascii="Times New Roman" w:hAnsi="Times New Roman" w:cs="Times New Roman"/>
          <w:color w:val="000000" w:themeColor="text1"/>
          <w:sz w:val="20"/>
          <w:szCs w:val="20"/>
        </w:rPr>
        <w:t>4.2.1 - Extensions of methods as regards to matrices/species</w:t>
      </w:r>
      <w:bookmarkEnd w:id="75"/>
    </w:p>
    <w:p w14:paraId="73058D6A" w14:textId="294E9581" w:rsidR="00CC1A4E" w:rsidRPr="00CC1A4E" w:rsidRDefault="00CC1A4E" w:rsidP="00CC1A4E">
      <w:pPr>
        <w:rPr>
          <w:sz w:val="20"/>
          <w:szCs w:val="20"/>
        </w:rPr>
      </w:pPr>
      <w:r w:rsidRPr="00CC1A4E">
        <w:rPr>
          <w:sz w:val="20"/>
          <w:szCs w:val="20"/>
        </w:rPr>
        <w:t xml:space="preserve">Additional </w:t>
      </w:r>
      <w:r w:rsidR="00CD107D">
        <w:rPr>
          <w:sz w:val="20"/>
          <w:szCs w:val="20"/>
        </w:rPr>
        <w:t xml:space="preserve">matrices or </w:t>
      </w:r>
      <w:r w:rsidRPr="00CC1A4E">
        <w:rPr>
          <w:sz w:val="20"/>
          <w:szCs w:val="20"/>
        </w:rPr>
        <w:t>species that are to be added to a previously comprehensively validated method can be integrated either by applying a reduced validation scheme or by integration in the on-going quality control procedure.</w:t>
      </w:r>
    </w:p>
    <w:p w14:paraId="466BACF0" w14:textId="37F2F2E2" w:rsidR="009A6568" w:rsidRPr="00EC3B28" w:rsidRDefault="009A6568" w:rsidP="009A6568">
      <w:pPr>
        <w:rPr>
          <w:sz w:val="20"/>
          <w:szCs w:val="20"/>
        </w:rPr>
      </w:pPr>
      <w:r>
        <w:rPr>
          <w:sz w:val="20"/>
          <w:szCs w:val="20"/>
        </w:rPr>
        <w:t>Simultaneous analyses of controlled samples of the original matrix with at least 5 different samples of the new matrix, with and without fortification at a relevant level (e.g.</w:t>
      </w:r>
      <w:r w:rsidR="00B97935">
        <w:rPr>
          <w:sz w:val="20"/>
          <w:szCs w:val="20"/>
        </w:rPr>
        <w:t xml:space="preserve"> </w:t>
      </w:r>
      <w:r>
        <w:rPr>
          <w:sz w:val="20"/>
          <w:szCs w:val="20"/>
        </w:rPr>
        <w:t xml:space="preserve">0.5 RPA, 0.5 MRL or 0.5 ML) in duplicate on at </w:t>
      </w:r>
      <w:r w:rsidRPr="00063840">
        <w:rPr>
          <w:sz w:val="20"/>
          <w:szCs w:val="20"/>
        </w:rPr>
        <w:t xml:space="preserve">least </w:t>
      </w:r>
      <w:r w:rsidR="00FB29F1" w:rsidRPr="00063840">
        <w:rPr>
          <w:sz w:val="20"/>
          <w:szCs w:val="20"/>
        </w:rPr>
        <w:t>three</w:t>
      </w:r>
      <w:r>
        <w:rPr>
          <w:sz w:val="20"/>
          <w:szCs w:val="20"/>
        </w:rPr>
        <w:t xml:space="preserve"> different days. Repeatability, within-laboratory reproducibility and S/N ratios should not be different from the values for the original matrix. If this condition is not fulfilled, additional validation will be necessary in order to determine the matrix specific parameters.</w:t>
      </w:r>
    </w:p>
    <w:p w14:paraId="3E310BFB" w14:textId="77777777" w:rsidR="009A6568" w:rsidRPr="00E154D6" w:rsidRDefault="009A6568" w:rsidP="00CC1A4E">
      <w:pPr>
        <w:rPr>
          <w:sz w:val="20"/>
          <w:szCs w:val="20"/>
        </w:rPr>
      </w:pPr>
    </w:p>
    <w:p w14:paraId="6873BF75" w14:textId="77777777" w:rsidR="00A73D5E" w:rsidRPr="00762DD7" w:rsidRDefault="00A73D5E" w:rsidP="00A73D5E">
      <w:pPr>
        <w:pStyle w:val="Heading3"/>
        <w:rPr>
          <w:rFonts w:ascii="Times New Roman" w:hAnsi="Times New Roman" w:cs="Times New Roman"/>
          <w:color w:val="000000" w:themeColor="text1"/>
          <w:sz w:val="20"/>
          <w:szCs w:val="20"/>
        </w:rPr>
      </w:pPr>
      <w:bookmarkStart w:id="76" w:name="_Toc5193416"/>
      <w:r w:rsidRPr="00762DD7">
        <w:rPr>
          <w:rFonts w:ascii="Times New Roman" w:hAnsi="Times New Roman" w:cs="Times New Roman"/>
          <w:color w:val="000000" w:themeColor="text1"/>
          <w:sz w:val="20"/>
          <w:szCs w:val="20"/>
        </w:rPr>
        <w:t>4.2.2 - Extensions of methods as regards to additional substances</w:t>
      </w:r>
      <w:bookmarkEnd w:id="76"/>
      <w:r w:rsidRPr="00762DD7">
        <w:rPr>
          <w:rFonts w:ascii="Times New Roman" w:hAnsi="Times New Roman" w:cs="Times New Roman"/>
          <w:color w:val="000000" w:themeColor="text1"/>
          <w:sz w:val="20"/>
          <w:szCs w:val="20"/>
        </w:rPr>
        <w:t xml:space="preserve"> </w:t>
      </w:r>
    </w:p>
    <w:p w14:paraId="37A2A1A1" w14:textId="13D7B808" w:rsidR="00CC1A4E" w:rsidRPr="00E154D6" w:rsidRDefault="00CC1A4E" w:rsidP="00CC1A4E">
      <w:pPr>
        <w:rPr>
          <w:sz w:val="20"/>
          <w:szCs w:val="20"/>
        </w:rPr>
      </w:pPr>
      <w:bookmarkStart w:id="77" w:name="_Toc5193417"/>
      <w:r w:rsidRPr="00E154D6">
        <w:rPr>
          <w:sz w:val="20"/>
          <w:szCs w:val="20"/>
        </w:rPr>
        <w:t>Additional (structurally related) analytes that are to be added to a previously comprehensively validated method can be integrated either by applying a reduced validation scheme or by integration in the on-going quality control procedure.</w:t>
      </w:r>
    </w:p>
    <w:p w14:paraId="1FA7F60A" w14:textId="74AF09C0" w:rsidR="009A6568" w:rsidRPr="00EC3B28" w:rsidRDefault="009A6568" w:rsidP="009A6568">
      <w:pPr>
        <w:rPr>
          <w:sz w:val="20"/>
          <w:szCs w:val="20"/>
        </w:rPr>
      </w:pPr>
      <w:r>
        <w:rPr>
          <w:sz w:val="20"/>
          <w:szCs w:val="20"/>
        </w:rPr>
        <w:t>Simultaneous analyses of controlled samples with the original analyte with at least 5 different samples, with or without fortification with the new substance at least three different levels (e.g.</w:t>
      </w:r>
      <w:r w:rsidR="00B97935">
        <w:rPr>
          <w:sz w:val="20"/>
          <w:szCs w:val="20"/>
        </w:rPr>
        <w:t xml:space="preserve"> </w:t>
      </w:r>
      <w:r>
        <w:rPr>
          <w:sz w:val="20"/>
          <w:szCs w:val="20"/>
        </w:rPr>
        <w:t>0.5, 1.0 and 1.5) RPA or MRL or ML in duplicate on at least t</w:t>
      </w:r>
      <w:r w:rsidR="00FB29F1">
        <w:rPr>
          <w:sz w:val="20"/>
          <w:szCs w:val="20"/>
        </w:rPr>
        <w:t>hree</w:t>
      </w:r>
      <w:r>
        <w:rPr>
          <w:sz w:val="20"/>
          <w:szCs w:val="20"/>
        </w:rPr>
        <w:t xml:space="preserve"> different days. Repeatability, within-laboratory reproducibility and S/N ratios should not be different from the values for the original compound. If this condition is nog fulfilled, additional validation will be necessary in order to determine the matrix specific parameters.</w:t>
      </w:r>
    </w:p>
    <w:p w14:paraId="08BFAF2B" w14:textId="77777777" w:rsidR="009A6568" w:rsidRPr="00EC3B28" w:rsidRDefault="009A6568" w:rsidP="00CC1A4E">
      <w:pPr>
        <w:rPr>
          <w:b/>
          <w:sz w:val="20"/>
          <w:szCs w:val="20"/>
        </w:rPr>
      </w:pPr>
    </w:p>
    <w:p w14:paraId="61C92A21" w14:textId="5C917349" w:rsidR="00A73D5E" w:rsidRPr="00762DD7" w:rsidRDefault="00CC1A4E" w:rsidP="00B97935">
      <w:pPr>
        <w:pStyle w:val="Heading3"/>
        <w:rPr>
          <w:rFonts w:ascii="Times New Roman" w:hAnsi="Times New Roman" w:cs="Times New Roman"/>
          <w:color w:val="000000" w:themeColor="text1"/>
          <w:sz w:val="20"/>
          <w:szCs w:val="20"/>
        </w:rPr>
      </w:pPr>
      <w:r w:rsidRPr="00762DD7">
        <w:rPr>
          <w:rFonts w:ascii="Times New Roman" w:hAnsi="Times New Roman" w:cs="Times New Roman"/>
          <w:color w:val="000000" w:themeColor="text1"/>
          <w:sz w:val="20"/>
          <w:szCs w:val="20"/>
        </w:rPr>
        <w:t>4</w:t>
      </w:r>
      <w:r w:rsidR="00A73D5E" w:rsidRPr="00762DD7">
        <w:rPr>
          <w:rFonts w:ascii="Times New Roman" w:hAnsi="Times New Roman" w:cs="Times New Roman"/>
          <w:color w:val="000000" w:themeColor="text1"/>
          <w:sz w:val="20"/>
          <w:szCs w:val="20"/>
        </w:rPr>
        <w:t>.2.3 - Extensions of methods as regards to the range of concentrations</w:t>
      </w:r>
      <w:bookmarkEnd w:id="77"/>
    </w:p>
    <w:p w14:paraId="2AD4BB59" w14:textId="77777777" w:rsidR="00CC1A4E" w:rsidRPr="00B317C5" w:rsidRDefault="00CC1A4E" w:rsidP="00CC1A4E">
      <w:pPr>
        <w:rPr>
          <w:sz w:val="20"/>
          <w:szCs w:val="20"/>
        </w:rPr>
      </w:pPr>
      <w:r w:rsidRPr="00B317C5">
        <w:rPr>
          <w:sz w:val="20"/>
          <w:szCs w:val="20"/>
        </w:rPr>
        <w:t>An extension of the stated concentration range for an analyte of a previously comprehensively validated method  can be integrated either by applying a reduced validation scheme or by integration in the on-going quality control procedure.</w:t>
      </w:r>
    </w:p>
    <w:p w14:paraId="3FEBD6A6" w14:textId="2B18F2C9" w:rsidR="009A6568" w:rsidRPr="00B317C5" w:rsidRDefault="00E1224F" w:rsidP="00CC1A4E">
      <w:pPr>
        <w:rPr>
          <w:sz w:val="20"/>
          <w:szCs w:val="20"/>
        </w:rPr>
      </w:pPr>
      <w:r>
        <w:rPr>
          <w:sz w:val="20"/>
          <w:szCs w:val="20"/>
        </w:rPr>
        <w:t>C</w:t>
      </w:r>
      <w:r w:rsidR="009A6568">
        <w:rPr>
          <w:sz w:val="20"/>
          <w:szCs w:val="20"/>
        </w:rPr>
        <w:t xml:space="preserve">alibration curves </w:t>
      </w:r>
      <w:r>
        <w:rPr>
          <w:sz w:val="20"/>
          <w:szCs w:val="20"/>
        </w:rPr>
        <w:t xml:space="preserve">for the modified range should be prepared </w:t>
      </w:r>
      <w:r w:rsidR="009A6568">
        <w:rPr>
          <w:sz w:val="20"/>
          <w:szCs w:val="20"/>
        </w:rPr>
        <w:t>according to the validated procedure</w:t>
      </w:r>
      <w:r w:rsidR="005F53E1">
        <w:rPr>
          <w:sz w:val="20"/>
          <w:szCs w:val="20"/>
        </w:rPr>
        <w:t>.</w:t>
      </w:r>
      <w:r w:rsidR="009A6568">
        <w:rPr>
          <w:sz w:val="20"/>
          <w:szCs w:val="20"/>
        </w:rPr>
        <w:t xml:space="preserve"> </w:t>
      </w:r>
      <w:r w:rsidR="009F6B55" w:rsidRPr="009F6B55">
        <w:rPr>
          <w:sz w:val="20"/>
          <w:szCs w:val="20"/>
        </w:rPr>
        <w:t>Repeatability</w:t>
      </w:r>
      <w:r w:rsidR="004C5CEA">
        <w:rPr>
          <w:sz w:val="20"/>
          <w:szCs w:val="20"/>
        </w:rPr>
        <w:t xml:space="preserve"> and</w:t>
      </w:r>
      <w:r w:rsidR="009F6B55" w:rsidRPr="009F6B55">
        <w:rPr>
          <w:sz w:val="20"/>
          <w:szCs w:val="20"/>
        </w:rPr>
        <w:t xml:space="preserve"> within-laboratory reproducibility </w:t>
      </w:r>
      <w:r w:rsidR="009F6B55">
        <w:rPr>
          <w:sz w:val="20"/>
          <w:szCs w:val="20"/>
        </w:rPr>
        <w:t xml:space="preserve">should not be different from those of the originally validated method. </w:t>
      </w:r>
      <w:r w:rsidR="009A6568">
        <w:rPr>
          <w:sz w:val="20"/>
          <w:szCs w:val="20"/>
        </w:rPr>
        <w:t xml:space="preserve">In case the range is extended </w:t>
      </w:r>
      <w:r>
        <w:rPr>
          <w:sz w:val="20"/>
          <w:szCs w:val="20"/>
        </w:rPr>
        <w:t>to</w:t>
      </w:r>
      <w:r w:rsidR="009A6568">
        <w:rPr>
          <w:sz w:val="20"/>
          <w:szCs w:val="20"/>
        </w:rPr>
        <w:t xml:space="preserve"> lower </w:t>
      </w:r>
      <w:r>
        <w:rPr>
          <w:sz w:val="20"/>
          <w:szCs w:val="20"/>
        </w:rPr>
        <w:t>concentration</w:t>
      </w:r>
      <w:r w:rsidR="009A6568">
        <w:rPr>
          <w:sz w:val="20"/>
          <w:szCs w:val="20"/>
        </w:rPr>
        <w:t xml:space="preserve">, </w:t>
      </w:r>
      <w:r>
        <w:rPr>
          <w:sz w:val="20"/>
          <w:szCs w:val="20"/>
        </w:rPr>
        <w:t xml:space="preserve">a </w:t>
      </w:r>
      <w:r w:rsidR="009A6568">
        <w:rPr>
          <w:sz w:val="20"/>
          <w:szCs w:val="20"/>
        </w:rPr>
        <w:t xml:space="preserve">recalculation of </w:t>
      </w:r>
      <w:r w:rsidR="009A6568" w:rsidRPr="00EC3B28">
        <w:rPr>
          <w:rFonts w:eastAsia="Arial"/>
          <w:sz w:val="20"/>
          <w:szCs w:val="20"/>
        </w:rPr>
        <w:t>CCβ</w:t>
      </w:r>
      <w:r w:rsidR="009A6568">
        <w:rPr>
          <w:rFonts w:eastAsia="Arial"/>
          <w:sz w:val="20"/>
          <w:szCs w:val="20"/>
        </w:rPr>
        <w:t xml:space="preserve"> and /or </w:t>
      </w:r>
      <w:r w:rsidR="009A6568" w:rsidRPr="00EC3B28">
        <w:rPr>
          <w:rFonts w:eastAsia="Arial"/>
          <w:sz w:val="20"/>
          <w:szCs w:val="20"/>
        </w:rPr>
        <w:t>CCα</w:t>
      </w:r>
      <w:r w:rsidR="009A6568">
        <w:rPr>
          <w:rFonts w:eastAsia="Arial"/>
          <w:sz w:val="20"/>
          <w:szCs w:val="20"/>
        </w:rPr>
        <w:t xml:space="preserve"> will be necessary.</w:t>
      </w:r>
    </w:p>
    <w:p w14:paraId="3F663024" w14:textId="03B83955" w:rsidR="00994F2E" w:rsidRDefault="00994F2E" w:rsidP="007E09A6">
      <w:pPr>
        <w:rPr>
          <w:sz w:val="20"/>
          <w:szCs w:val="20"/>
        </w:rPr>
      </w:pPr>
    </w:p>
    <w:p w14:paraId="4D7C341D" w14:textId="63FCF089" w:rsidR="00A67EFB" w:rsidRDefault="00A67EFB" w:rsidP="007E09A6">
      <w:pPr>
        <w:rPr>
          <w:sz w:val="20"/>
          <w:szCs w:val="20"/>
        </w:rPr>
      </w:pPr>
    </w:p>
    <w:p w14:paraId="79A4A503" w14:textId="3BB5481B" w:rsidR="00A67EFB" w:rsidRDefault="00A67EFB" w:rsidP="007E09A6">
      <w:pPr>
        <w:rPr>
          <w:sz w:val="20"/>
          <w:szCs w:val="20"/>
        </w:rPr>
      </w:pPr>
    </w:p>
    <w:p w14:paraId="349C08B4" w14:textId="723A3573" w:rsidR="00A67EFB" w:rsidRDefault="00A67EFB" w:rsidP="007E09A6">
      <w:pPr>
        <w:rPr>
          <w:sz w:val="20"/>
          <w:szCs w:val="20"/>
        </w:rPr>
      </w:pPr>
    </w:p>
    <w:p w14:paraId="3E217989" w14:textId="2BFFCF0D" w:rsidR="00A67EFB" w:rsidRDefault="00A67EFB" w:rsidP="007E09A6">
      <w:pPr>
        <w:rPr>
          <w:sz w:val="20"/>
          <w:szCs w:val="20"/>
        </w:rPr>
      </w:pPr>
    </w:p>
    <w:p w14:paraId="0FB6E890" w14:textId="1B3EE4D3" w:rsidR="00A67EFB" w:rsidRDefault="00A67EFB" w:rsidP="007E09A6">
      <w:pPr>
        <w:rPr>
          <w:sz w:val="20"/>
          <w:szCs w:val="20"/>
        </w:rPr>
      </w:pPr>
    </w:p>
    <w:p w14:paraId="56DD2E4B" w14:textId="3E87455F" w:rsidR="00A67EFB" w:rsidRDefault="00A67EFB" w:rsidP="007E09A6">
      <w:pPr>
        <w:rPr>
          <w:sz w:val="20"/>
          <w:szCs w:val="20"/>
        </w:rPr>
      </w:pPr>
    </w:p>
    <w:p w14:paraId="239432B0" w14:textId="03C630C9" w:rsidR="007E09A6" w:rsidRPr="00255C5B" w:rsidRDefault="00994F2E" w:rsidP="00D70523">
      <w:pPr>
        <w:jc w:val="center"/>
        <w:rPr>
          <w:b/>
          <w:sz w:val="20"/>
          <w:szCs w:val="20"/>
        </w:rPr>
      </w:pPr>
      <w:r w:rsidRPr="00255C5B">
        <w:rPr>
          <w:b/>
          <w:sz w:val="20"/>
          <w:szCs w:val="20"/>
        </w:rPr>
        <w:t>A</w:t>
      </w:r>
      <w:r w:rsidR="00BC15DE" w:rsidRPr="00255C5B">
        <w:rPr>
          <w:b/>
          <w:sz w:val="20"/>
          <w:szCs w:val="20"/>
        </w:rPr>
        <w:t xml:space="preserve">NNEX </w:t>
      </w:r>
      <w:r w:rsidR="00F86E58" w:rsidRPr="00255C5B">
        <w:rPr>
          <w:b/>
          <w:sz w:val="20"/>
          <w:szCs w:val="20"/>
        </w:rPr>
        <w:t>II</w:t>
      </w:r>
    </w:p>
    <w:p w14:paraId="5E68B754" w14:textId="77777777" w:rsidR="00994F2E" w:rsidRPr="00EC3B28" w:rsidRDefault="00994F2E" w:rsidP="00D70523">
      <w:pPr>
        <w:jc w:val="center"/>
        <w:rPr>
          <w:sz w:val="20"/>
          <w:szCs w:val="20"/>
        </w:rPr>
      </w:pPr>
    </w:p>
    <w:p w14:paraId="6D17F4E1" w14:textId="12D7D9F6" w:rsidR="007E09A6" w:rsidRPr="0093298D" w:rsidRDefault="007E09A6" w:rsidP="00D70523">
      <w:pPr>
        <w:jc w:val="center"/>
        <w:rPr>
          <w:b/>
          <w:szCs w:val="24"/>
        </w:rPr>
      </w:pPr>
      <w:r w:rsidRPr="0093298D">
        <w:rPr>
          <w:b/>
          <w:szCs w:val="24"/>
        </w:rPr>
        <w:t>Sampling procedures and official sample treatment</w:t>
      </w:r>
    </w:p>
    <w:p w14:paraId="397FADE2" w14:textId="378A64A0" w:rsidR="00C625BD" w:rsidRDefault="00C625BD" w:rsidP="00D70523">
      <w:pPr>
        <w:rPr>
          <w:b/>
          <w:sz w:val="20"/>
          <w:szCs w:val="20"/>
        </w:rPr>
      </w:pPr>
    </w:p>
    <w:p w14:paraId="53432078" w14:textId="77777777" w:rsidR="00C625BD" w:rsidRPr="00EC3B28" w:rsidRDefault="00C625BD" w:rsidP="00D70523">
      <w:pPr>
        <w:rPr>
          <w:b/>
          <w:sz w:val="20"/>
          <w:szCs w:val="20"/>
        </w:rPr>
      </w:pPr>
    </w:p>
    <w:p w14:paraId="4B1A54E6" w14:textId="77777777" w:rsidR="007E09A6" w:rsidRPr="00EC3B28" w:rsidRDefault="007E09A6" w:rsidP="00D70523">
      <w:pPr>
        <w:rPr>
          <w:sz w:val="20"/>
          <w:szCs w:val="20"/>
        </w:rPr>
      </w:pPr>
      <w:r w:rsidRPr="00EC3B28">
        <w:rPr>
          <w:sz w:val="20"/>
          <w:szCs w:val="20"/>
        </w:rPr>
        <w:t>1. Sample quantity</w:t>
      </w:r>
    </w:p>
    <w:p w14:paraId="4C37D817" w14:textId="775D04DE" w:rsidR="007E09A6" w:rsidRPr="00EC3B28" w:rsidRDefault="007E09A6" w:rsidP="00D70523">
      <w:pPr>
        <w:rPr>
          <w:sz w:val="20"/>
          <w:szCs w:val="20"/>
        </w:rPr>
      </w:pPr>
      <w:r w:rsidRPr="00EC3B28">
        <w:rPr>
          <w:sz w:val="20"/>
          <w:szCs w:val="20"/>
        </w:rPr>
        <w:t xml:space="preserve">The minimum sample quantities must be defined in the national residue control programme. It must be sufficient to enable the approved laboratories to carry out the analytical procedures necessary to complete the screening and the confirmatory analyses. Specifically for poultry, aquaculture, rabbits, farmed game, reptiles and insects a sample consists out of one or more animals, depending the requirements of the analytical methods. For </w:t>
      </w:r>
      <w:r w:rsidR="00B265E2" w:rsidRPr="00EC3B28">
        <w:rPr>
          <w:sz w:val="20"/>
          <w:szCs w:val="20"/>
        </w:rPr>
        <w:t>eggs,</w:t>
      </w:r>
      <w:r w:rsidRPr="00EC3B28">
        <w:rPr>
          <w:sz w:val="20"/>
          <w:szCs w:val="20"/>
        </w:rPr>
        <w:t xml:space="preserve"> the sample size is at least 12 eggs or more, according to the analytical methods used. In case several substance categories need to be analysed in one sample with different analytical methods, the sample size should be increased accordingly.</w:t>
      </w:r>
    </w:p>
    <w:p w14:paraId="7274C2AA" w14:textId="77777777" w:rsidR="00373D8E" w:rsidRPr="00EC3B28" w:rsidRDefault="00373D8E" w:rsidP="00D70523">
      <w:pPr>
        <w:rPr>
          <w:sz w:val="20"/>
          <w:szCs w:val="20"/>
        </w:rPr>
      </w:pPr>
    </w:p>
    <w:p w14:paraId="2E4D57F0" w14:textId="421D5146" w:rsidR="00712E4F" w:rsidRPr="00EC3B28" w:rsidRDefault="007E09A6" w:rsidP="00D70523">
      <w:pPr>
        <w:rPr>
          <w:sz w:val="20"/>
          <w:szCs w:val="20"/>
        </w:rPr>
      </w:pPr>
      <w:r w:rsidRPr="00EC3B28">
        <w:rPr>
          <w:sz w:val="20"/>
          <w:szCs w:val="20"/>
        </w:rPr>
        <w:t>2. Division into sub-samples</w:t>
      </w:r>
    </w:p>
    <w:p w14:paraId="17788E3E" w14:textId="31C101A3" w:rsidR="007E09A6" w:rsidRPr="00EC3B28" w:rsidRDefault="007E09A6" w:rsidP="00D70523">
      <w:pPr>
        <w:rPr>
          <w:sz w:val="20"/>
          <w:szCs w:val="20"/>
        </w:rPr>
      </w:pPr>
      <w:r w:rsidRPr="00EC3B28">
        <w:rPr>
          <w:sz w:val="20"/>
          <w:szCs w:val="20"/>
        </w:rPr>
        <w:t>Unless technically impossible or not required by national legislation, each sample must be divided into at least two equivalent sub-samples each allowing the complete analytical procedure. The subdivision can take place at the sampling location or in the laboratory.</w:t>
      </w:r>
    </w:p>
    <w:p w14:paraId="54688BC7" w14:textId="77777777" w:rsidR="0096064B" w:rsidRPr="00EC3B28" w:rsidRDefault="0096064B" w:rsidP="00D70523">
      <w:pPr>
        <w:rPr>
          <w:sz w:val="20"/>
          <w:szCs w:val="20"/>
        </w:rPr>
      </w:pPr>
    </w:p>
    <w:p w14:paraId="06F595E0" w14:textId="77777777" w:rsidR="007E09A6" w:rsidRPr="00EC3B28" w:rsidRDefault="007E09A6" w:rsidP="00D70523">
      <w:pPr>
        <w:rPr>
          <w:sz w:val="20"/>
          <w:szCs w:val="20"/>
        </w:rPr>
      </w:pPr>
      <w:r w:rsidRPr="00EC3B28">
        <w:rPr>
          <w:sz w:val="20"/>
          <w:szCs w:val="20"/>
        </w:rPr>
        <w:t>3. Traceability</w:t>
      </w:r>
    </w:p>
    <w:p w14:paraId="16837271" w14:textId="2A0A3700" w:rsidR="007E09A6" w:rsidRPr="00EC3B28" w:rsidRDefault="007E09A6" w:rsidP="00D70523">
      <w:pPr>
        <w:rPr>
          <w:sz w:val="20"/>
          <w:szCs w:val="20"/>
        </w:rPr>
      </w:pPr>
      <w:r w:rsidRPr="00EC3B28">
        <w:rPr>
          <w:sz w:val="20"/>
          <w:szCs w:val="20"/>
        </w:rPr>
        <w:t xml:space="preserve">Each sample shall be taken in such way that it is always possible to trace it back to the farm of origin. In </w:t>
      </w:r>
      <w:r w:rsidR="00B265E2" w:rsidRPr="00EC3B28">
        <w:rPr>
          <w:sz w:val="20"/>
          <w:szCs w:val="20"/>
        </w:rPr>
        <w:t>particular,</w:t>
      </w:r>
      <w:r w:rsidRPr="00EC3B28">
        <w:rPr>
          <w:sz w:val="20"/>
          <w:szCs w:val="20"/>
        </w:rPr>
        <w:t xml:space="preserve"> for milk, according to the choice of the Member State, the samples can be taken</w:t>
      </w:r>
    </w:p>
    <w:p w14:paraId="4BCA1824" w14:textId="18905DD9" w:rsidR="007E09A6" w:rsidRPr="00EC3B28" w:rsidRDefault="007E09A6" w:rsidP="00D70523">
      <w:pPr>
        <w:rPr>
          <w:sz w:val="20"/>
          <w:szCs w:val="20"/>
        </w:rPr>
      </w:pPr>
      <w:r w:rsidRPr="00EC3B28">
        <w:rPr>
          <w:sz w:val="20"/>
          <w:szCs w:val="20"/>
        </w:rPr>
        <w:t>-</w:t>
      </w:r>
      <w:r w:rsidR="008602D5">
        <w:rPr>
          <w:sz w:val="20"/>
          <w:szCs w:val="20"/>
        </w:rPr>
        <w:t xml:space="preserve"> </w:t>
      </w:r>
      <w:r w:rsidRPr="00EC3B28">
        <w:rPr>
          <w:sz w:val="20"/>
          <w:szCs w:val="20"/>
        </w:rPr>
        <w:t>either at the farm from the collection tank</w:t>
      </w:r>
      <w:r w:rsidR="00B265E2">
        <w:rPr>
          <w:sz w:val="20"/>
          <w:szCs w:val="20"/>
        </w:rPr>
        <w:t>,</w:t>
      </w:r>
    </w:p>
    <w:p w14:paraId="230CF4AC" w14:textId="33C279B6" w:rsidR="007E09A6" w:rsidRPr="00EC3B28" w:rsidRDefault="007E09A6" w:rsidP="00D70523">
      <w:pPr>
        <w:rPr>
          <w:sz w:val="20"/>
          <w:szCs w:val="20"/>
        </w:rPr>
      </w:pPr>
      <w:r w:rsidRPr="00EC3B28">
        <w:rPr>
          <w:sz w:val="20"/>
          <w:szCs w:val="20"/>
        </w:rPr>
        <w:t>-</w:t>
      </w:r>
      <w:r w:rsidR="008602D5">
        <w:rPr>
          <w:sz w:val="20"/>
          <w:szCs w:val="20"/>
        </w:rPr>
        <w:t xml:space="preserve"> </w:t>
      </w:r>
      <w:r w:rsidRPr="00EC3B28">
        <w:rPr>
          <w:sz w:val="20"/>
          <w:szCs w:val="20"/>
        </w:rPr>
        <w:t>at the level of the dairy industry, before the milk has been discharged</w:t>
      </w:r>
      <w:r w:rsidR="00B265E2">
        <w:rPr>
          <w:sz w:val="20"/>
          <w:szCs w:val="20"/>
        </w:rPr>
        <w:t>.</w:t>
      </w:r>
    </w:p>
    <w:p w14:paraId="2D21E7E4" w14:textId="77777777" w:rsidR="0096064B" w:rsidRPr="00EC3B28" w:rsidRDefault="0096064B" w:rsidP="00D70523">
      <w:pPr>
        <w:rPr>
          <w:sz w:val="20"/>
          <w:szCs w:val="20"/>
        </w:rPr>
      </w:pPr>
    </w:p>
    <w:p w14:paraId="43132AEC" w14:textId="77777777" w:rsidR="007E09A6" w:rsidRPr="00EC3B28" w:rsidRDefault="007E09A6" w:rsidP="00D70523">
      <w:pPr>
        <w:rPr>
          <w:sz w:val="20"/>
          <w:szCs w:val="20"/>
        </w:rPr>
      </w:pPr>
      <w:r w:rsidRPr="00EC3B28">
        <w:rPr>
          <w:sz w:val="20"/>
          <w:szCs w:val="20"/>
        </w:rPr>
        <w:t>4. Samples containers</w:t>
      </w:r>
    </w:p>
    <w:p w14:paraId="516281AA" w14:textId="5F2351BD" w:rsidR="007E09A6" w:rsidRPr="00EC3B28" w:rsidRDefault="007E09A6" w:rsidP="00D70523">
      <w:pPr>
        <w:rPr>
          <w:sz w:val="20"/>
          <w:szCs w:val="20"/>
        </w:rPr>
      </w:pPr>
      <w:r w:rsidRPr="00EC3B28">
        <w:rPr>
          <w:sz w:val="20"/>
          <w:szCs w:val="20"/>
        </w:rPr>
        <w:t>Samples must be collected in suitable containers to maintain sample integrity and traceability. In particular, containers must prevent substitution, cross-contamination and degradation. The containers must be officially sealed.</w:t>
      </w:r>
    </w:p>
    <w:p w14:paraId="6903BAB1" w14:textId="77777777" w:rsidR="0096064B" w:rsidRPr="00EC3B28" w:rsidRDefault="0096064B" w:rsidP="00D70523">
      <w:pPr>
        <w:rPr>
          <w:sz w:val="20"/>
          <w:szCs w:val="20"/>
        </w:rPr>
      </w:pPr>
    </w:p>
    <w:p w14:paraId="4B15401B" w14:textId="53C0F91A" w:rsidR="007E09A6" w:rsidRPr="00EC3B28" w:rsidRDefault="007E09A6" w:rsidP="00D70523">
      <w:pPr>
        <w:rPr>
          <w:sz w:val="20"/>
          <w:szCs w:val="20"/>
        </w:rPr>
      </w:pPr>
      <w:r w:rsidRPr="00EC3B28">
        <w:rPr>
          <w:sz w:val="20"/>
          <w:szCs w:val="20"/>
        </w:rPr>
        <w:t>4</w:t>
      </w:r>
      <w:r w:rsidR="0096064B" w:rsidRPr="00EC3B28">
        <w:rPr>
          <w:sz w:val="20"/>
          <w:szCs w:val="20"/>
        </w:rPr>
        <w:t>.</w:t>
      </w:r>
      <w:r w:rsidRPr="00EC3B28">
        <w:rPr>
          <w:sz w:val="20"/>
          <w:szCs w:val="20"/>
        </w:rPr>
        <w:t xml:space="preserve"> Sampling report</w:t>
      </w:r>
    </w:p>
    <w:p w14:paraId="0949347D" w14:textId="77777777" w:rsidR="007E09A6" w:rsidRPr="00EC3B28" w:rsidRDefault="007E09A6" w:rsidP="00D70523">
      <w:pPr>
        <w:rPr>
          <w:sz w:val="20"/>
          <w:szCs w:val="20"/>
        </w:rPr>
      </w:pPr>
      <w:r w:rsidRPr="00EC3B28">
        <w:rPr>
          <w:sz w:val="20"/>
          <w:szCs w:val="20"/>
        </w:rPr>
        <w:t>A report shall be produced after each sampling procedure.</w:t>
      </w:r>
    </w:p>
    <w:p w14:paraId="586F495E" w14:textId="77777777" w:rsidR="007E09A6" w:rsidRPr="00EC3B28" w:rsidRDefault="007E09A6" w:rsidP="00D70523">
      <w:pPr>
        <w:rPr>
          <w:sz w:val="20"/>
          <w:szCs w:val="20"/>
        </w:rPr>
      </w:pPr>
      <w:r w:rsidRPr="00EC3B28">
        <w:rPr>
          <w:sz w:val="20"/>
          <w:szCs w:val="20"/>
        </w:rPr>
        <w:t>The inspector collects at least the following data in the sampling report:</w:t>
      </w:r>
    </w:p>
    <w:p w14:paraId="405E9090" w14:textId="77777777" w:rsidR="007E09A6" w:rsidRPr="00EC3B28" w:rsidRDefault="007E09A6" w:rsidP="00D70523">
      <w:pPr>
        <w:rPr>
          <w:sz w:val="20"/>
          <w:szCs w:val="20"/>
        </w:rPr>
      </w:pPr>
      <w:r w:rsidRPr="00EC3B28">
        <w:rPr>
          <w:sz w:val="20"/>
          <w:szCs w:val="20"/>
        </w:rPr>
        <w:t>— address of the competent authorities,</w:t>
      </w:r>
    </w:p>
    <w:p w14:paraId="06DCAFFE" w14:textId="77777777" w:rsidR="007E09A6" w:rsidRPr="00EC3B28" w:rsidRDefault="007E09A6" w:rsidP="00D70523">
      <w:pPr>
        <w:rPr>
          <w:sz w:val="20"/>
          <w:szCs w:val="20"/>
        </w:rPr>
      </w:pPr>
      <w:r w:rsidRPr="00EC3B28">
        <w:rPr>
          <w:sz w:val="20"/>
          <w:szCs w:val="20"/>
        </w:rPr>
        <w:t>— name of the inspector or identification code,</w:t>
      </w:r>
    </w:p>
    <w:p w14:paraId="5B586848" w14:textId="77777777" w:rsidR="007E09A6" w:rsidRPr="00EC3B28" w:rsidRDefault="007E09A6" w:rsidP="00D70523">
      <w:pPr>
        <w:rPr>
          <w:sz w:val="20"/>
          <w:szCs w:val="20"/>
        </w:rPr>
      </w:pPr>
      <w:r w:rsidRPr="00EC3B28">
        <w:rPr>
          <w:sz w:val="20"/>
          <w:szCs w:val="20"/>
        </w:rPr>
        <w:t>— official code number of the sample,</w:t>
      </w:r>
    </w:p>
    <w:p w14:paraId="69A57728" w14:textId="77777777" w:rsidR="007E09A6" w:rsidRPr="00EC3B28" w:rsidRDefault="007E09A6" w:rsidP="00D70523">
      <w:pPr>
        <w:rPr>
          <w:sz w:val="20"/>
          <w:szCs w:val="20"/>
        </w:rPr>
      </w:pPr>
      <w:r w:rsidRPr="00EC3B28">
        <w:rPr>
          <w:sz w:val="20"/>
          <w:szCs w:val="20"/>
        </w:rPr>
        <w:t>— sampling date,</w:t>
      </w:r>
    </w:p>
    <w:p w14:paraId="0BD9340B" w14:textId="77777777" w:rsidR="007E09A6" w:rsidRPr="00EC3B28" w:rsidRDefault="007E09A6" w:rsidP="00D70523">
      <w:pPr>
        <w:rPr>
          <w:sz w:val="20"/>
          <w:szCs w:val="20"/>
        </w:rPr>
      </w:pPr>
      <w:r w:rsidRPr="00EC3B28">
        <w:rPr>
          <w:sz w:val="20"/>
          <w:szCs w:val="20"/>
        </w:rPr>
        <w:t>— name and address of the owner or the person having charge of the animals or the animal products,</w:t>
      </w:r>
    </w:p>
    <w:p w14:paraId="26AE3CCD" w14:textId="77777777" w:rsidR="007E09A6" w:rsidRPr="00EC3B28" w:rsidRDefault="007E09A6" w:rsidP="00D70523">
      <w:pPr>
        <w:rPr>
          <w:sz w:val="20"/>
          <w:szCs w:val="20"/>
        </w:rPr>
      </w:pPr>
      <w:r w:rsidRPr="00EC3B28">
        <w:rPr>
          <w:sz w:val="20"/>
          <w:szCs w:val="20"/>
        </w:rPr>
        <w:t>— name and address of the animal's farm of origin (when sampling on farm),</w:t>
      </w:r>
    </w:p>
    <w:p w14:paraId="055F3DCC" w14:textId="77777777" w:rsidR="007E09A6" w:rsidRPr="00EC3B28" w:rsidRDefault="007E09A6" w:rsidP="00D70523">
      <w:pPr>
        <w:rPr>
          <w:sz w:val="20"/>
          <w:szCs w:val="20"/>
        </w:rPr>
      </w:pPr>
      <w:r w:rsidRPr="00EC3B28">
        <w:rPr>
          <w:sz w:val="20"/>
          <w:szCs w:val="20"/>
        </w:rPr>
        <w:t>— registration number of the establishment-slaughterhouse number,</w:t>
      </w:r>
    </w:p>
    <w:p w14:paraId="31D26CDD" w14:textId="77777777" w:rsidR="007E09A6" w:rsidRPr="00EC3B28" w:rsidRDefault="007E09A6" w:rsidP="00D70523">
      <w:pPr>
        <w:rPr>
          <w:sz w:val="20"/>
          <w:szCs w:val="20"/>
        </w:rPr>
      </w:pPr>
      <w:r w:rsidRPr="00EC3B28">
        <w:rPr>
          <w:sz w:val="20"/>
          <w:szCs w:val="20"/>
        </w:rPr>
        <w:t>— animal or product identification,</w:t>
      </w:r>
    </w:p>
    <w:p w14:paraId="70A72523" w14:textId="77777777" w:rsidR="007E09A6" w:rsidRPr="00EC3B28" w:rsidRDefault="007E09A6" w:rsidP="00D70523">
      <w:pPr>
        <w:rPr>
          <w:sz w:val="20"/>
          <w:szCs w:val="20"/>
        </w:rPr>
      </w:pPr>
      <w:r w:rsidRPr="00EC3B28">
        <w:rPr>
          <w:sz w:val="20"/>
          <w:szCs w:val="20"/>
        </w:rPr>
        <w:t>— animal species,</w:t>
      </w:r>
    </w:p>
    <w:p w14:paraId="57489B29" w14:textId="77777777" w:rsidR="007E09A6" w:rsidRPr="00EC3B28" w:rsidRDefault="007E09A6" w:rsidP="00D70523">
      <w:pPr>
        <w:rPr>
          <w:sz w:val="20"/>
          <w:szCs w:val="20"/>
        </w:rPr>
      </w:pPr>
      <w:r w:rsidRPr="00EC3B28">
        <w:rPr>
          <w:sz w:val="20"/>
          <w:szCs w:val="20"/>
        </w:rPr>
        <w:t>— sample matrix,</w:t>
      </w:r>
    </w:p>
    <w:p w14:paraId="17756005" w14:textId="77777777" w:rsidR="007E09A6" w:rsidRPr="00EC3B28" w:rsidRDefault="007E09A6" w:rsidP="00D70523">
      <w:pPr>
        <w:rPr>
          <w:sz w:val="20"/>
          <w:szCs w:val="20"/>
        </w:rPr>
      </w:pPr>
      <w:r w:rsidRPr="00EC3B28">
        <w:rPr>
          <w:sz w:val="20"/>
          <w:szCs w:val="20"/>
        </w:rPr>
        <w:t>— medication within the last four weeks before sampling (when sampling on farm),</w:t>
      </w:r>
    </w:p>
    <w:p w14:paraId="0CF1576B" w14:textId="77777777" w:rsidR="007E09A6" w:rsidRPr="00EC3B28" w:rsidRDefault="007E09A6" w:rsidP="00D70523">
      <w:pPr>
        <w:rPr>
          <w:sz w:val="20"/>
          <w:szCs w:val="20"/>
        </w:rPr>
      </w:pPr>
      <w:r w:rsidRPr="00EC3B28">
        <w:rPr>
          <w:sz w:val="20"/>
          <w:szCs w:val="20"/>
        </w:rPr>
        <w:t>— substance or substance groups for examination,</w:t>
      </w:r>
    </w:p>
    <w:p w14:paraId="21B34ECF" w14:textId="6F816A06" w:rsidR="007E09A6" w:rsidRPr="00EC3B28" w:rsidRDefault="007E09A6" w:rsidP="00D70523">
      <w:pPr>
        <w:rPr>
          <w:sz w:val="20"/>
          <w:szCs w:val="20"/>
        </w:rPr>
      </w:pPr>
      <w:r w:rsidRPr="00EC3B28">
        <w:rPr>
          <w:sz w:val="20"/>
          <w:szCs w:val="20"/>
        </w:rPr>
        <w:t>— particular remarks.</w:t>
      </w:r>
    </w:p>
    <w:p w14:paraId="52CD4CBC" w14:textId="77777777" w:rsidR="00052C4C" w:rsidRPr="00EC3B28" w:rsidRDefault="00052C4C" w:rsidP="00D70523">
      <w:pPr>
        <w:rPr>
          <w:sz w:val="20"/>
          <w:szCs w:val="20"/>
        </w:rPr>
      </w:pPr>
    </w:p>
    <w:p w14:paraId="76E311BE" w14:textId="77777777" w:rsidR="007E09A6" w:rsidRPr="00EC3B28" w:rsidRDefault="007E09A6" w:rsidP="00D70523">
      <w:pPr>
        <w:rPr>
          <w:sz w:val="20"/>
          <w:szCs w:val="20"/>
        </w:rPr>
      </w:pPr>
      <w:r w:rsidRPr="00EC3B28">
        <w:rPr>
          <w:sz w:val="20"/>
          <w:szCs w:val="20"/>
        </w:rPr>
        <w:t xml:space="preserve">Copies of the report are to be foreseen depending on the sampling procedure. The sampling report and its copies shall be signed at least by the inspector: in case of on-farm sampling, the farmer or his deputy may be invited to sign the original sampling report. </w:t>
      </w:r>
    </w:p>
    <w:p w14:paraId="002CAF39" w14:textId="77777777" w:rsidR="007E09A6" w:rsidRPr="00EC3B28" w:rsidRDefault="007E09A6" w:rsidP="00D70523">
      <w:pPr>
        <w:rPr>
          <w:sz w:val="20"/>
          <w:szCs w:val="20"/>
        </w:rPr>
      </w:pPr>
      <w:r w:rsidRPr="00EC3B28">
        <w:rPr>
          <w:sz w:val="20"/>
          <w:szCs w:val="20"/>
        </w:rPr>
        <w:t>The original of the sampling report remains at the competent authority, which has to guarantee that unauthorised persons cannot access this original report.</w:t>
      </w:r>
    </w:p>
    <w:p w14:paraId="4D4AC14C" w14:textId="43FD9557" w:rsidR="007E09A6" w:rsidRPr="00EC3B28" w:rsidRDefault="007E09A6" w:rsidP="00D70523">
      <w:pPr>
        <w:rPr>
          <w:sz w:val="20"/>
          <w:szCs w:val="20"/>
        </w:rPr>
      </w:pPr>
      <w:r w:rsidRPr="00EC3B28">
        <w:rPr>
          <w:sz w:val="20"/>
          <w:szCs w:val="20"/>
        </w:rPr>
        <w:t>If necessary, the farmer or the owner of the establishment may be informed of the sampling undertaken.</w:t>
      </w:r>
    </w:p>
    <w:p w14:paraId="72570830" w14:textId="77777777" w:rsidR="0096064B" w:rsidRPr="00EC3B28" w:rsidRDefault="0096064B" w:rsidP="00D70523">
      <w:pPr>
        <w:rPr>
          <w:sz w:val="20"/>
          <w:szCs w:val="20"/>
        </w:rPr>
      </w:pPr>
    </w:p>
    <w:p w14:paraId="47E6652A" w14:textId="77777777" w:rsidR="007E09A6" w:rsidRPr="00EC3B28" w:rsidRDefault="007E09A6" w:rsidP="00D70523">
      <w:pPr>
        <w:rPr>
          <w:sz w:val="20"/>
          <w:szCs w:val="20"/>
        </w:rPr>
      </w:pPr>
      <w:r w:rsidRPr="00EC3B28">
        <w:rPr>
          <w:sz w:val="20"/>
          <w:szCs w:val="20"/>
        </w:rPr>
        <w:t>5. Laboratory report</w:t>
      </w:r>
    </w:p>
    <w:p w14:paraId="6CC3DB57" w14:textId="0F15B99E" w:rsidR="007E09A6" w:rsidRPr="00EC3B28" w:rsidRDefault="007E09A6" w:rsidP="00D70523">
      <w:pPr>
        <w:rPr>
          <w:sz w:val="20"/>
          <w:szCs w:val="20"/>
        </w:rPr>
      </w:pPr>
      <w:r w:rsidRPr="00EC3B28">
        <w:rPr>
          <w:sz w:val="20"/>
          <w:szCs w:val="20"/>
        </w:rPr>
        <w:t xml:space="preserve">The laboratory report established by the competent authorities </w:t>
      </w:r>
      <w:r w:rsidR="00837AB2">
        <w:rPr>
          <w:sz w:val="20"/>
          <w:szCs w:val="20"/>
        </w:rPr>
        <w:t xml:space="preserve">shall be in accordance with the requirements of ISO 17025 and shall </w:t>
      </w:r>
      <w:r w:rsidRPr="00EC3B28">
        <w:rPr>
          <w:sz w:val="20"/>
          <w:szCs w:val="20"/>
        </w:rPr>
        <w:t>contain at least the following information:</w:t>
      </w:r>
    </w:p>
    <w:p w14:paraId="30C285B4" w14:textId="77777777" w:rsidR="007E09A6" w:rsidRPr="00EC3B28" w:rsidRDefault="007E09A6" w:rsidP="00D70523">
      <w:pPr>
        <w:rPr>
          <w:sz w:val="20"/>
          <w:szCs w:val="20"/>
        </w:rPr>
      </w:pPr>
      <w:r w:rsidRPr="00EC3B28">
        <w:rPr>
          <w:sz w:val="20"/>
          <w:szCs w:val="20"/>
        </w:rPr>
        <w:t>— address of the competent authorities,</w:t>
      </w:r>
    </w:p>
    <w:p w14:paraId="31900FDA" w14:textId="77777777" w:rsidR="007E09A6" w:rsidRPr="00EC3B28" w:rsidRDefault="007E09A6" w:rsidP="00D70523">
      <w:pPr>
        <w:rPr>
          <w:sz w:val="20"/>
          <w:szCs w:val="20"/>
        </w:rPr>
      </w:pPr>
      <w:r w:rsidRPr="00EC3B28">
        <w:rPr>
          <w:sz w:val="20"/>
          <w:szCs w:val="20"/>
        </w:rPr>
        <w:t>— name of inspector of identification code,</w:t>
      </w:r>
    </w:p>
    <w:p w14:paraId="7EBCE047" w14:textId="77777777" w:rsidR="007E09A6" w:rsidRPr="00EC3B28" w:rsidRDefault="007E09A6" w:rsidP="00D70523">
      <w:pPr>
        <w:rPr>
          <w:sz w:val="20"/>
          <w:szCs w:val="20"/>
        </w:rPr>
      </w:pPr>
      <w:r w:rsidRPr="00EC3B28">
        <w:rPr>
          <w:sz w:val="20"/>
          <w:szCs w:val="20"/>
        </w:rPr>
        <w:t>— official code number of the sample,</w:t>
      </w:r>
    </w:p>
    <w:p w14:paraId="2EF50BF0" w14:textId="382F2747" w:rsidR="007E09A6" w:rsidRPr="00EC3B28" w:rsidRDefault="007E09A6" w:rsidP="00D70523">
      <w:pPr>
        <w:rPr>
          <w:sz w:val="20"/>
          <w:szCs w:val="20"/>
        </w:rPr>
      </w:pPr>
      <w:r w:rsidRPr="00EC3B28">
        <w:rPr>
          <w:sz w:val="20"/>
          <w:szCs w:val="20"/>
        </w:rPr>
        <w:t>— sampling date,</w:t>
      </w:r>
      <w:r w:rsidR="00987787" w:rsidRPr="00EC3B28">
        <w:rPr>
          <w:sz w:val="20"/>
          <w:szCs w:val="20"/>
        </w:rPr>
        <w:tab/>
      </w:r>
    </w:p>
    <w:p w14:paraId="09D7D1AE" w14:textId="77777777" w:rsidR="007E09A6" w:rsidRPr="00EC3B28" w:rsidRDefault="007E09A6" w:rsidP="00D70523">
      <w:pPr>
        <w:rPr>
          <w:sz w:val="20"/>
          <w:szCs w:val="20"/>
        </w:rPr>
      </w:pPr>
      <w:r w:rsidRPr="00EC3B28">
        <w:rPr>
          <w:sz w:val="20"/>
          <w:szCs w:val="20"/>
        </w:rPr>
        <w:t>— animal species,</w:t>
      </w:r>
    </w:p>
    <w:p w14:paraId="3793AB5F" w14:textId="77777777" w:rsidR="007E09A6" w:rsidRPr="00EC3B28" w:rsidRDefault="007E09A6" w:rsidP="00D70523">
      <w:pPr>
        <w:rPr>
          <w:sz w:val="20"/>
          <w:szCs w:val="20"/>
        </w:rPr>
      </w:pPr>
      <w:r w:rsidRPr="00EC3B28">
        <w:rPr>
          <w:sz w:val="20"/>
          <w:szCs w:val="20"/>
        </w:rPr>
        <w:t>— sample matrix,</w:t>
      </w:r>
    </w:p>
    <w:p w14:paraId="69579F3B" w14:textId="56CBCA8D" w:rsidR="0079721D" w:rsidRPr="00EC3B28" w:rsidRDefault="00987787" w:rsidP="00D70523">
      <w:pPr>
        <w:rPr>
          <w:sz w:val="20"/>
          <w:szCs w:val="20"/>
        </w:rPr>
      </w:pPr>
      <w:r w:rsidRPr="00EC3B28">
        <w:rPr>
          <w:sz w:val="20"/>
          <w:szCs w:val="20"/>
        </w:rPr>
        <w:t xml:space="preserve">— </w:t>
      </w:r>
      <w:r w:rsidR="007E09A6" w:rsidRPr="00EC3B28">
        <w:rPr>
          <w:sz w:val="20"/>
          <w:szCs w:val="20"/>
        </w:rPr>
        <w:t>substances or substance groups for examination</w:t>
      </w:r>
    </w:p>
    <w:p w14:paraId="178760B3" w14:textId="1FADE756" w:rsidR="0079721D" w:rsidRPr="00EC3B28" w:rsidRDefault="0079721D" w:rsidP="00D70523">
      <w:pPr>
        <w:rPr>
          <w:sz w:val="20"/>
          <w:szCs w:val="20"/>
        </w:rPr>
      </w:pPr>
      <w:r w:rsidRPr="00EC3B28">
        <w:rPr>
          <w:sz w:val="20"/>
          <w:szCs w:val="20"/>
        </w:rPr>
        <w:t>— particular remarks.</w:t>
      </w:r>
    </w:p>
    <w:p w14:paraId="24E871C3" w14:textId="77777777" w:rsidR="00052C4C" w:rsidRPr="00EC3B28" w:rsidRDefault="00052C4C" w:rsidP="00D70523">
      <w:pPr>
        <w:rPr>
          <w:sz w:val="20"/>
          <w:szCs w:val="20"/>
        </w:rPr>
      </w:pPr>
    </w:p>
    <w:p w14:paraId="3C6A7788" w14:textId="7BB98745" w:rsidR="007E09A6" w:rsidRPr="00EC3B28" w:rsidRDefault="007E09A6" w:rsidP="00D70523">
      <w:pPr>
        <w:rPr>
          <w:sz w:val="20"/>
          <w:szCs w:val="20"/>
        </w:rPr>
      </w:pPr>
      <w:r w:rsidRPr="00EC3B28">
        <w:rPr>
          <w:sz w:val="20"/>
          <w:szCs w:val="20"/>
        </w:rPr>
        <w:t>This report is handed over to the routine laboratory together with the samples.</w:t>
      </w:r>
    </w:p>
    <w:p w14:paraId="306C56CA" w14:textId="77777777" w:rsidR="00A53CCA" w:rsidRPr="00EC3B28" w:rsidRDefault="00A53CCA" w:rsidP="00D70523">
      <w:pPr>
        <w:rPr>
          <w:sz w:val="20"/>
          <w:szCs w:val="20"/>
        </w:rPr>
      </w:pPr>
    </w:p>
    <w:p w14:paraId="5B786F6D" w14:textId="62FA1E61" w:rsidR="007E09A6" w:rsidRPr="00EC3B28" w:rsidRDefault="007E09A6" w:rsidP="00D70523">
      <w:pPr>
        <w:rPr>
          <w:sz w:val="20"/>
          <w:szCs w:val="20"/>
        </w:rPr>
      </w:pPr>
      <w:r w:rsidRPr="00EC3B28">
        <w:rPr>
          <w:sz w:val="20"/>
          <w:szCs w:val="20"/>
        </w:rPr>
        <w:t>6. Transport and storage</w:t>
      </w:r>
    </w:p>
    <w:p w14:paraId="36578C54" w14:textId="77777777" w:rsidR="007E09A6" w:rsidRPr="00EC3B28" w:rsidRDefault="007E09A6" w:rsidP="00D70523">
      <w:pPr>
        <w:rPr>
          <w:sz w:val="20"/>
          <w:szCs w:val="20"/>
        </w:rPr>
      </w:pPr>
      <w:r w:rsidRPr="00EC3B28">
        <w:rPr>
          <w:sz w:val="20"/>
          <w:szCs w:val="20"/>
        </w:rPr>
        <w:t>Residue control programmes shall specify the suitable storage and transport conditions for each analyte/matrix combination to ensure analyte stability and sample integrity. The transport time should be as short as possible and the temperature during transport should be adequate to ensure analyte stability.</w:t>
      </w:r>
    </w:p>
    <w:p w14:paraId="57AF434A" w14:textId="77777777" w:rsidR="007E09A6" w:rsidRPr="00EC3B28" w:rsidRDefault="007E09A6" w:rsidP="00D70523">
      <w:pPr>
        <w:rPr>
          <w:sz w:val="20"/>
          <w:szCs w:val="20"/>
        </w:rPr>
      </w:pPr>
      <w:r w:rsidRPr="00EC3B28">
        <w:rPr>
          <w:sz w:val="20"/>
          <w:szCs w:val="20"/>
        </w:rPr>
        <w:t xml:space="preserve">Specific attention must be paid to transport boxes, temperature and delivery times to the responsible laboratory. </w:t>
      </w:r>
    </w:p>
    <w:p w14:paraId="79B54060" w14:textId="77777777" w:rsidR="007E09A6" w:rsidRPr="00EC3B28" w:rsidRDefault="007E09A6" w:rsidP="00D70523">
      <w:pPr>
        <w:rPr>
          <w:sz w:val="20"/>
          <w:szCs w:val="20"/>
        </w:rPr>
      </w:pPr>
      <w:r w:rsidRPr="00EC3B28">
        <w:rPr>
          <w:sz w:val="20"/>
          <w:szCs w:val="20"/>
        </w:rPr>
        <w:t xml:space="preserve">In case of any non-compliance with the requirements of the control programme the laboratory shall inform the competent authority without delay.  </w:t>
      </w:r>
    </w:p>
    <w:p w14:paraId="3973A28E" w14:textId="77777777" w:rsidR="007E09A6" w:rsidRPr="00EC3B28" w:rsidRDefault="007E09A6" w:rsidP="00D70523">
      <w:pPr>
        <w:rPr>
          <w:color w:val="FF0000"/>
          <w:sz w:val="20"/>
          <w:szCs w:val="20"/>
        </w:rPr>
      </w:pPr>
    </w:p>
    <w:p w14:paraId="242FE8D8" w14:textId="77777777" w:rsidR="007E09A6" w:rsidRPr="00EC3B28" w:rsidRDefault="007E09A6" w:rsidP="00D70523">
      <w:pPr>
        <w:rPr>
          <w:sz w:val="20"/>
          <w:szCs w:val="20"/>
        </w:rPr>
      </w:pPr>
    </w:p>
    <w:p w14:paraId="69F3F4DE" w14:textId="2F37E005" w:rsidR="00FE51C6" w:rsidRPr="00DC0AE3" w:rsidRDefault="00FE51C6" w:rsidP="00DC0AE3">
      <w:pPr>
        <w:rPr>
          <w:b/>
          <w:sz w:val="20"/>
          <w:szCs w:val="20"/>
          <w:u w:val="single"/>
        </w:rPr>
      </w:pPr>
    </w:p>
    <w:sectPr w:rsidR="00FE51C6" w:rsidRPr="00DC0AE3" w:rsidSect="00517E9E">
      <w:headerReference w:type="even" r:id="rId15"/>
      <w:headerReference w:type="default" r:id="rId16"/>
      <w:footerReference w:type="even" r:id="rId17"/>
      <w:footerReference w:type="default" r:id="rId18"/>
      <w:headerReference w:type="first" r:id="rId19"/>
      <w:footerReference w:type="first" r:id="rId20"/>
      <w:pgSz w:w="11907" w:h="16839" w:code="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7A0A" w14:textId="77777777" w:rsidR="00B4648C" w:rsidRDefault="00B4648C" w:rsidP="00905EA5">
      <w:pPr>
        <w:spacing w:before="0" w:after="0"/>
      </w:pPr>
      <w:r>
        <w:separator/>
      </w:r>
    </w:p>
  </w:endnote>
  <w:endnote w:type="continuationSeparator" w:id="0">
    <w:p w14:paraId="35DBFAE9" w14:textId="77777777" w:rsidR="00B4648C" w:rsidRDefault="00B4648C" w:rsidP="00905E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3C1A" w14:textId="77777777" w:rsidR="00B4648C" w:rsidRPr="003A7074" w:rsidRDefault="00B4648C" w:rsidP="003A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56670" w14:textId="0181609C" w:rsidR="00B4648C" w:rsidRPr="003A7074" w:rsidRDefault="00B4648C" w:rsidP="003A7074">
    <w:pPr>
      <w:pStyle w:val="FooterCoverPage"/>
      <w:rPr>
        <w:rFonts w:ascii="Arial" w:hAnsi="Arial" w:cs="Arial"/>
        <w:b/>
        <w:sz w:val="48"/>
      </w:rPr>
    </w:pPr>
    <w:r w:rsidRPr="003A7074">
      <w:rPr>
        <w:rFonts w:ascii="Arial" w:hAnsi="Arial" w:cs="Arial"/>
        <w:b/>
        <w:sz w:val="48"/>
      </w:rPr>
      <w:t>EN</w:t>
    </w:r>
    <w:r w:rsidRPr="003A7074">
      <w:rPr>
        <w:rFonts w:ascii="Arial" w:hAnsi="Arial" w:cs="Arial"/>
        <w:b/>
        <w:sz w:val="48"/>
      </w:rPr>
      <w:tab/>
    </w:r>
    <w:r w:rsidRPr="003A7074">
      <w:rPr>
        <w:rFonts w:ascii="Arial" w:hAnsi="Arial" w:cs="Arial"/>
        <w:b/>
        <w:sz w:val="48"/>
      </w:rPr>
      <w:tab/>
    </w:r>
    <w:r w:rsidRPr="003A7074">
      <w:tab/>
    </w:r>
    <w:r w:rsidRPr="003A707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DEF1" w14:textId="77777777" w:rsidR="00B4648C" w:rsidRPr="003A7074" w:rsidRDefault="00B4648C" w:rsidP="003A707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F6C9" w14:textId="77777777" w:rsidR="00B4648C" w:rsidRDefault="00B464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23283"/>
      <w:docPartObj>
        <w:docPartGallery w:val="Page Numbers (Bottom of Page)"/>
        <w:docPartUnique/>
      </w:docPartObj>
    </w:sdtPr>
    <w:sdtEndPr>
      <w:rPr>
        <w:noProof/>
      </w:rPr>
    </w:sdtEndPr>
    <w:sdtContent>
      <w:p w14:paraId="366ED455" w14:textId="6694C10C" w:rsidR="00B4648C" w:rsidRDefault="00B4648C">
        <w:pPr>
          <w:pStyle w:val="Footer"/>
          <w:jc w:val="center"/>
        </w:pPr>
        <w:r>
          <w:fldChar w:fldCharType="begin"/>
        </w:r>
        <w:r>
          <w:instrText xml:space="preserve"> PAGE   \* MERGEFORMAT </w:instrText>
        </w:r>
        <w:r>
          <w:fldChar w:fldCharType="separate"/>
        </w:r>
        <w:r w:rsidR="00730B2E">
          <w:rPr>
            <w:noProof/>
          </w:rPr>
          <w:t>1</w:t>
        </w:r>
        <w:r>
          <w:rPr>
            <w:noProof/>
          </w:rPr>
          <w:fldChar w:fldCharType="end"/>
        </w:r>
      </w:p>
    </w:sdtContent>
  </w:sdt>
  <w:p w14:paraId="54D490E7" w14:textId="77777777" w:rsidR="00B4648C" w:rsidRPr="00905EA5" w:rsidRDefault="00B4648C" w:rsidP="002C1F8F">
    <w:pPr>
      <w:pStyle w:val="FooterLandscape"/>
      <w:rPr>
        <w:rFonts w:ascii="Arial" w:hAnsi="Arial" w:cs="Arial"/>
        <w:b/>
        <w:sz w:val="48"/>
        <w:lang w:val="es-E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515E" w14:textId="77777777" w:rsidR="00B4648C" w:rsidRDefault="00B4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25E2" w14:textId="77777777" w:rsidR="00B4648C" w:rsidRDefault="00B4648C" w:rsidP="00905EA5">
      <w:pPr>
        <w:spacing w:before="0" w:after="0"/>
      </w:pPr>
      <w:r>
        <w:separator/>
      </w:r>
    </w:p>
  </w:footnote>
  <w:footnote w:type="continuationSeparator" w:id="0">
    <w:p w14:paraId="3C250980" w14:textId="77777777" w:rsidR="00B4648C" w:rsidRDefault="00B4648C" w:rsidP="00905EA5">
      <w:pPr>
        <w:spacing w:before="0" w:after="0"/>
      </w:pPr>
      <w:r>
        <w:continuationSeparator/>
      </w:r>
    </w:p>
  </w:footnote>
  <w:footnote w:id="1">
    <w:p w14:paraId="1F020B54" w14:textId="5AE5FDE2" w:rsidR="00B4648C" w:rsidRPr="0096783E" w:rsidRDefault="00B4648C">
      <w:pPr>
        <w:pStyle w:val="FootnoteText"/>
        <w:rPr>
          <w:lang w:val="en-IE"/>
        </w:rPr>
      </w:pPr>
      <w:r>
        <w:rPr>
          <w:rStyle w:val="FootnoteReference"/>
        </w:rPr>
        <w:footnoteRef/>
      </w:r>
      <w:r>
        <w:t xml:space="preserve"> </w:t>
      </w:r>
      <w:r w:rsidRPr="00333CDD">
        <w:t>ISO 5725:1994 Accuracy (trueness and precision) of measurement methods and results — Part 1: General principles and definitions; ISO 5725-2 Part 2: Basic method for the determination of repeatability and reproducibility of a standard measurement method; Part 4: Basic methods for the determination of the trueness of a standard measurement method.</w:t>
      </w:r>
    </w:p>
  </w:footnote>
  <w:footnote w:id="2">
    <w:p w14:paraId="5C971305" w14:textId="56518C31" w:rsidR="00B4648C" w:rsidRPr="0007433C" w:rsidRDefault="00B4648C">
      <w:pPr>
        <w:pStyle w:val="FootnoteText"/>
      </w:pPr>
      <w:r>
        <w:rPr>
          <w:rStyle w:val="FootnoteReference"/>
        </w:rPr>
        <w:footnoteRef/>
      </w:r>
      <w:r>
        <w:t xml:space="preserve"> ISO 11843 – Capability of detection</w:t>
      </w:r>
    </w:p>
  </w:footnote>
  <w:footnote w:id="3">
    <w:p w14:paraId="00214A7B" w14:textId="5AD9BAC6" w:rsidR="00B4648C" w:rsidRPr="0007433C" w:rsidRDefault="00B4648C">
      <w:pPr>
        <w:pStyle w:val="FootnoteText"/>
      </w:pPr>
      <w:r>
        <w:rPr>
          <w:rStyle w:val="FootnoteReference"/>
        </w:rPr>
        <w:footnoteRef/>
      </w:r>
      <w:r>
        <w:t xml:space="preserve"> Guidelines on estimation of uncertainty of results (CAC/GL 59-2006)</w:t>
      </w:r>
    </w:p>
  </w:footnote>
  <w:footnote w:id="4">
    <w:p w14:paraId="4CA8DCD7" w14:textId="0A4FF157" w:rsidR="00B4648C" w:rsidRPr="006F6E32" w:rsidRDefault="00B4648C">
      <w:pPr>
        <w:pStyle w:val="FootnoteText"/>
      </w:pPr>
      <w:r>
        <w:rPr>
          <w:rStyle w:val="FootnoteReference"/>
        </w:rPr>
        <w:footnoteRef/>
      </w:r>
      <w:r>
        <w:t xml:space="preserve"> </w:t>
      </w:r>
      <w:r>
        <w:rPr>
          <w:rFonts w:eastAsiaTheme="minorEastAsia"/>
        </w:rPr>
        <w:t>ISO WD TS 23471 – Experimental designs for evaluation of uncertainty – Use of factorial designs for determining uncertainty functions</w:t>
      </w:r>
    </w:p>
  </w:footnote>
  <w:footnote w:id="5">
    <w:p w14:paraId="4E025EED" w14:textId="28021BC0" w:rsidR="00B4648C" w:rsidRPr="006639E1" w:rsidRDefault="00B4648C">
      <w:pPr>
        <w:pStyle w:val="FootnoteText"/>
        <w:rPr>
          <w:sz w:val="18"/>
          <w:szCs w:val="18"/>
        </w:rPr>
      </w:pPr>
      <w:r>
        <w:rPr>
          <w:rStyle w:val="FootnoteReference"/>
        </w:rPr>
        <w:footnoteRef/>
      </w:r>
      <w:r>
        <w:t xml:space="preserve"> </w:t>
      </w:r>
      <w:r w:rsidRPr="006639E1">
        <w:rPr>
          <w:rFonts w:eastAsiaTheme="minorEastAsia"/>
          <w:sz w:val="18"/>
          <w:szCs w:val="18"/>
        </w:rPr>
        <w:t>Jülicher, B., Gowik, P. and Uhlig, S. (1998) Assessment of detection methods in trace analysis by means of a statistically based in-house validation concept. Analyst, 120, 173</w:t>
      </w:r>
    </w:p>
  </w:footnote>
  <w:footnote w:id="6">
    <w:p w14:paraId="2C83324B" w14:textId="432C8445" w:rsidR="00B4648C" w:rsidRPr="00241AEE" w:rsidRDefault="00B4648C">
      <w:pPr>
        <w:pStyle w:val="FootnoteText"/>
      </w:pPr>
      <w:r>
        <w:rPr>
          <w:rStyle w:val="FootnoteReference"/>
        </w:rPr>
        <w:footnoteRef/>
      </w:r>
      <w:r>
        <w:t xml:space="preserve"> </w:t>
      </w:r>
      <w:r w:rsidRPr="00816876">
        <w:t>IUPAC (1995), Protocol for the design, conduct and interpretation of method-performance studies, Pure &amp; Applied Chem, 67, 331.</w:t>
      </w:r>
    </w:p>
  </w:footnote>
  <w:footnote w:id="7">
    <w:p w14:paraId="6C94B753" w14:textId="68CB27F1" w:rsidR="00B4648C" w:rsidRPr="00241AEE" w:rsidRDefault="00B4648C">
      <w:pPr>
        <w:pStyle w:val="FootnoteText"/>
      </w:pPr>
      <w:r>
        <w:rPr>
          <w:rStyle w:val="FootnoteReference"/>
        </w:rPr>
        <w:footnoteRef/>
      </w:r>
      <w:r>
        <w:t xml:space="preserve"> </w:t>
      </w:r>
      <w:r w:rsidRPr="0096783E">
        <w:t>Jülicher, B., Gowik, P. and Uhlig, S. (1998) Assessment of detection methods in trace analysis by means of a statistically based in-house validation concept. Analyst, 120, 173.</w:t>
      </w:r>
    </w:p>
  </w:footnote>
  <w:footnote w:id="8">
    <w:p w14:paraId="3613449E" w14:textId="5CA66902" w:rsidR="00B4648C" w:rsidRPr="00241AEE" w:rsidRDefault="00B4648C">
      <w:pPr>
        <w:pStyle w:val="FootnoteText"/>
      </w:pPr>
      <w:r>
        <w:rPr>
          <w:rStyle w:val="FootnoteReference"/>
        </w:rPr>
        <w:footnoteRef/>
      </w:r>
      <w:r>
        <w:t xml:space="preserve"> </w:t>
      </w:r>
      <w:r w:rsidRPr="0096783E">
        <w:t>Gowik, P., Jülicher, B. and Uhlig, S. (1998) Multi-residue method for non-steroidal anti-inflammatory drugs in plasma using high performance liquid chromatography-photodiode-array detection. Method description and comprehensive in-house validation. J. Chromatogr., 716, 221</w:t>
      </w:r>
    </w:p>
  </w:footnote>
  <w:footnote w:id="9">
    <w:p w14:paraId="66BCD7D4" w14:textId="727B68FD" w:rsidR="00B4648C" w:rsidRPr="00513987" w:rsidRDefault="00B4648C" w:rsidP="00513987">
      <w:pPr>
        <w:pStyle w:val="FootnoteText"/>
      </w:pPr>
      <w:r>
        <w:rPr>
          <w:rStyle w:val="FootnoteReference"/>
        </w:rPr>
        <w:footnoteRef/>
      </w:r>
      <w:r>
        <w:t xml:space="preserve"> A</w:t>
      </w:r>
      <w:r w:rsidRPr="00513987">
        <w:t>OAC-I Peer Verified Methods, Policies and Procedures, 1993, AOAC International, 2200 Wilson Blvd., Suite 400, Arlington, Virginia 22201-3301, USA.</w:t>
      </w:r>
    </w:p>
  </w:footnote>
  <w:footnote w:id="10">
    <w:p w14:paraId="3462673C" w14:textId="4AB0ED02" w:rsidR="00B4648C" w:rsidRPr="002C664D" w:rsidRDefault="00B4648C" w:rsidP="002C664D">
      <w:pPr>
        <w:pStyle w:val="FootnoteText"/>
      </w:pPr>
      <w:r>
        <w:rPr>
          <w:rStyle w:val="FootnoteReference"/>
        </w:rPr>
        <w:footnoteRef/>
      </w:r>
      <w:r>
        <w:t xml:space="preserve"> </w:t>
      </w:r>
      <w:r w:rsidRPr="002C664D">
        <w:t>W.J. Youden; Steiner, E.H.; ‘Statistical Manual of the AOAC–Association of Official Analytical Chemists’, AOAC-I, Washington DC: 1975, p. 35 ff.</w:t>
      </w:r>
    </w:p>
  </w:footnote>
  <w:footnote w:id="11">
    <w:p w14:paraId="1CCDFC98" w14:textId="14C773FB" w:rsidR="00B4648C" w:rsidRPr="004F463F" w:rsidRDefault="00B4648C" w:rsidP="004F463F">
      <w:pPr>
        <w:pStyle w:val="FootnoteText"/>
      </w:pPr>
      <w:r>
        <w:rPr>
          <w:rStyle w:val="FootnoteReference"/>
        </w:rPr>
        <w:footnoteRef/>
      </w:r>
      <w:r>
        <w:t xml:space="preserve"> </w:t>
      </w:r>
      <w:r w:rsidRPr="004F463F">
        <w:rPr>
          <w:sz w:val="18"/>
          <w:szCs w:val="18"/>
        </w:rPr>
        <w:t>ISO 11843:1997 Capability of detection — Part 1: Terms and definitions, Part 2: Methodology in the linear calibration case.</w:t>
      </w:r>
    </w:p>
  </w:footnote>
  <w:footnote w:id="12">
    <w:p w14:paraId="677B7225" w14:textId="65519B86" w:rsidR="00B4648C" w:rsidRDefault="00B4648C">
      <w:pPr>
        <w:pStyle w:val="FootnoteText"/>
      </w:pPr>
      <w:r>
        <w:rPr>
          <w:rStyle w:val="FootnoteReference"/>
        </w:rPr>
        <w:footnoteRef/>
      </w:r>
      <w:r>
        <w:t xml:space="preserve"> </w:t>
      </w:r>
      <w:r w:rsidRPr="00856092">
        <w:rPr>
          <w:sz w:val="18"/>
          <w:szCs w:val="18"/>
        </w:rPr>
        <w:t xml:space="preserve">E. Verdon, </w:t>
      </w:r>
      <w:r>
        <w:rPr>
          <w:sz w:val="18"/>
          <w:szCs w:val="18"/>
        </w:rPr>
        <w:t>D. Hur</w:t>
      </w:r>
      <w:r w:rsidRPr="00856092">
        <w:rPr>
          <w:sz w:val="18"/>
          <w:szCs w:val="18"/>
        </w:rPr>
        <w:t>tau</w:t>
      </w:r>
      <w:r>
        <w:rPr>
          <w:sz w:val="18"/>
          <w:szCs w:val="18"/>
        </w:rPr>
        <w:t>d</w:t>
      </w:r>
      <w:r w:rsidRPr="00856092">
        <w:rPr>
          <w:sz w:val="18"/>
          <w:szCs w:val="18"/>
        </w:rPr>
        <w:t xml:space="preserve">-Pessel, P. </w:t>
      </w:r>
      <w:r w:rsidRPr="00E1695C">
        <w:rPr>
          <w:sz w:val="18"/>
          <w:szCs w:val="18"/>
        </w:rPr>
        <w:t>Sanders (2006), Evaluation of the limit of performance of an analytical method based on a statistical calculation of its critical concentrations according ot ISO standard 11843: Application to routine control of banned veterinary drug residues in food accodirng</w:t>
      </w:r>
      <w:r>
        <w:rPr>
          <w:sz w:val="18"/>
          <w:szCs w:val="18"/>
        </w:rPr>
        <w:t xml:space="preserve"> to European Decision 657/2002/EC; Accred Qual Assur, 11:58-62, DOI: 10.1007/s00769-005-0055-y &amp; (2006)  DOI: 10.1007/s00769-006-0218-5</w:t>
      </w:r>
    </w:p>
  </w:footnote>
  <w:footnote w:id="13">
    <w:p w14:paraId="2B039D39" w14:textId="42BAEEBA" w:rsidR="00B4648C" w:rsidRPr="00757B38" w:rsidRDefault="00B4648C">
      <w:pPr>
        <w:pStyle w:val="FootnoteText"/>
        <w:rPr>
          <w:lang w:val="en-IE"/>
        </w:rPr>
      </w:pPr>
      <w:r>
        <w:rPr>
          <w:rStyle w:val="FootnoteReference"/>
        </w:rPr>
        <w:footnoteRef/>
      </w:r>
      <w:r>
        <w:t xml:space="preserve"> </w:t>
      </w:r>
      <w:r w:rsidRPr="00757B38">
        <w:rPr>
          <w:sz w:val="18"/>
          <w:szCs w:val="18"/>
        </w:rPr>
        <w:t xml:space="preserve">ISO 17025: </w:t>
      </w:r>
      <w:r>
        <w:rPr>
          <w:sz w:val="18"/>
          <w:szCs w:val="18"/>
        </w:rPr>
        <w:t>2017</w:t>
      </w:r>
      <w:r w:rsidRPr="00757B38">
        <w:rPr>
          <w:sz w:val="18"/>
          <w:szCs w:val="18"/>
        </w:rPr>
        <w:t xml:space="preserve"> General requirement for the competence of </w:t>
      </w:r>
      <w:r>
        <w:rPr>
          <w:sz w:val="18"/>
          <w:szCs w:val="18"/>
        </w:rPr>
        <w:t>testing</w:t>
      </w:r>
      <w:r w:rsidRPr="00757B38">
        <w:rPr>
          <w:sz w:val="18"/>
          <w:szCs w:val="18"/>
        </w:rPr>
        <w:t xml:space="preserve"> and </w:t>
      </w:r>
      <w:r>
        <w:rPr>
          <w:sz w:val="18"/>
          <w:szCs w:val="18"/>
        </w:rPr>
        <w:t>calibration</w:t>
      </w:r>
      <w:r w:rsidRPr="00757B38">
        <w:rPr>
          <w:sz w:val="18"/>
          <w:szCs w:val="18"/>
        </w:rPr>
        <w:t xml:space="preserve">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DCE1" w14:textId="77777777" w:rsidR="00B4648C" w:rsidRPr="003A7074" w:rsidRDefault="00B4648C" w:rsidP="003A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FB83" w14:textId="77777777" w:rsidR="00B4648C" w:rsidRPr="003622AC" w:rsidRDefault="00B4648C" w:rsidP="003A7074">
    <w:pPr>
      <w:pBdr>
        <w:top w:val="single" w:sz="4" w:space="1" w:color="auto"/>
        <w:left w:val="single" w:sz="4" w:space="4" w:color="auto"/>
        <w:bottom w:val="single" w:sz="4" w:space="1" w:color="auto"/>
        <w:right w:val="single" w:sz="4" w:space="4" w:color="auto"/>
      </w:pBdr>
      <w:rPr>
        <w:i/>
        <w:sz w:val="28"/>
        <w:szCs w:val="28"/>
      </w:rPr>
    </w:pPr>
    <w:r w:rsidRPr="003622AC">
      <w:rPr>
        <w:i/>
        <w:sz w:val="28"/>
        <w:szCs w:val="28"/>
      </w:rPr>
      <w:t xml:space="preserve">This </w:t>
    </w:r>
    <w:r>
      <w:rPr>
        <w:i/>
        <w:sz w:val="28"/>
        <w:szCs w:val="28"/>
      </w:rPr>
      <w:t xml:space="preserve">draft </w:t>
    </w:r>
    <w:r w:rsidRPr="003622AC">
      <w:rPr>
        <w:i/>
        <w:sz w:val="28"/>
        <w:szCs w:val="28"/>
      </w:rPr>
      <w:t xml:space="preserve">has not been adopted </w:t>
    </w:r>
    <w:r>
      <w:rPr>
        <w:i/>
        <w:sz w:val="28"/>
        <w:szCs w:val="28"/>
      </w:rPr>
      <w:t xml:space="preserve">or endorsed </w:t>
    </w:r>
    <w:r w:rsidRPr="003622AC">
      <w:rPr>
        <w:i/>
        <w:sz w:val="28"/>
        <w:szCs w:val="28"/>
      </w:rPr>
      <w:t xml:space="preserve">by the </w:t>
    </w:r>
    <w:r>
      <w:rPr>
        <w:i/>
        <w:sz w:val="28"/>
        <w:szCs w:val="28"/>
      </w:rPr>
      <w:t>European Commission</w:t>
    </w:r>
    <w:r w:rsidRPr="003622AC">
      <w:rPr>
        <w:i/>
        <w:sz w:val="28"/>
        <w:szCs w:val="28"/>
      </w:rPr>
      <w:t xml:space="preserve">. </w:t>
    </w:r>
    <w:r w:rsidRPr="00291AAE">
      <w:rPr>
        <w:i/>
        <w:sz w:val="28"/>
        <w:szCs w:val="28"/>
      </w:rPr>
      <w:t xml:space="preserve">Any views expressed are </w:t>
    </w:r>
    <w:r>
      <w:rPr>
        <w:i/>
        <w:sz w:val="28"/>
        <w:szCs w:val="28"/>
      </w:rPr>
      <w:t xml:space="preserve">the preliminary views of the Commission services </w:t>
    </w:r>
    <w:r w:rsidRPr="00291AAE">
      <w:rPr>
        <w:i/>
        <w:sz w:val="28"/>
        <w:szCs w:val="28"/>
      </w:rPr>
      <w:t xml:space="preserve">and may not in any circumstances be regarded as stating an official position of the Commission. The information transmitted is intended only for the </w:t>
    </w:r>
    <w:r>
      <w:rPr>
        <w:i/>
        <w:sz w:val="28"/>
        <w:szCs w:val="28"/>
      </w:rPr>
      <w:t>Member State</w:t>
    </w:r>
    <w:r w:rsidRPr="00291AAE">
      <w:rPr>
        <w:i/>
        <w:sz w:val="28"/>
        <w:szCs w:val="28"/>
      </w:rPr>
      <w:t xml:space="preserve"> or entity to which it is addressed </w:t>
    </w:r>
    <w:r>
      <w:rPr>
        <w:i/>
        <w:sz w:val="28"/>
        <w:szCs w:val="28"/>
      </w:rPr>
      <w:t xml:space="preserve">for discussions </w:t>
    </w:r>
    <w:r w:rsidRPr="00291AAE">
      <w:rPr>
        <w:i/>
        <w:sz w:val="28"/>
        <w:szCs w:val="28"/>
      </w:rPr>
      <w:t>and may contain confidential and/or privileged material. </w:t>
    </w:r>
  </w:p>
  <w:p w14:paraId="3C89CBFC" w14:textId="77777777" w:rsidR="00B4648C" w:rsidRPr="003A7074" w:rsidRDefault="00B4648C" w:rsidP="003A7074">
    <w:pPr>
      <w:pStyle w:val="HeaderCoverPag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815F" w14:textId="77777777" w:rsidR="00B4648C" w:rsidRPr="003A7074" w:rsidRDefault="00B4648C" w:rsidP="003A707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B7BF" w14:textId="77777777" w:rsidR="00B4648C" w:rsidRDefault="00B464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4898" w14:textId="77777777" w:rsidR="00B4648C" w:rsidRPr="003622AC" w:rsidRDefault="00B4648C" w:rsidP="002C1F8F">
    <w:pPr>
      <w:pBdr>
        <w:top w:val="single" w:sz="4" w:space="1" w:color="auto"/>
        <w:left w:val="single" w:sz="4" w:space="4" w:color="auto"/>
        <w:bottom w:val="single" w:sz="4" w:space="1" w:color="auto"/>
        <w:right w:val="single" w:sz="4" w:space="4" w:color="auto"/>
      </w:pBdr>
      <w:rPr>
        <w:i/>
        <w:sz w:val="28"/>
        <w:szCs w:val="28"/>
      </w:rPr>
    </w:pPr>
    <w:r w:rsidRPr="003622AC">
      <w:rPr>
        <w:i/>
        <w:sz w:val="28"/>
        <w:szCs w:val="28"/>
      </w:rPr>
      <w:t xml:space="preserve">This </w:t>
    </w:r>
    <w:r>
      <w:rPr>
        <w:i/>
        <w:sz w:val="28"/>
        <w:szCs w:val="28"/>
      </w:rPr>
      <w:t xml:space="preserve">draft </w:t>
    </w:r>
    <w:r w:rsidRPr="003622AC">
      <w:rPr>
        <w:i/>
        <w:sz w:val="28"/>
        <w:szCs w:val="28"/>
      </w:rPr>
      <w:t xml:space="preserve">has not been adopted </w:t>
    </w:r>
    <w:r>
      <w:rPr>
        <w:i/>
        <w:sz w:val="28"/>
        <w:szCs w:val="28"/>
      </w:rPr>
      <w:t xml:space="preserve">or endorsed </w:t>
    </w:r>
    <w:r w:rsidRPr="003622AC">
      <w:rPr>
        <w:i/>
        <w:sz w:val="28"/>
        <w:szCs w:val="28"/>
      </w:rPr>
      <w:t xml:space="preserve">by the </w:t>
    </w:r>
    <w:r>
      <w:rPr>
        <w:i/>
        <w:sz w:val="28"/>
        <w:szCs w:val="28"/>
      </w:rPr>
      <w:t>European Commission</w:t>
    </w:r>
    <w:r w:rsidRPr="003622AC">
      <w:rPr>
        <w:i/>
        <w:sz w:val="28"/>
        <w:szCs w:val="28"/>
      </w:rPr>
      <w:t xml:space="preserve">. </w:t>
    </w:r>
    <w:r w:rsidRPr="00291AAE">
      <w:rPr>
        <w:i/>
        <w:sz w:val="28"/>
        <w:szCs w:val="28"/>
      </w:rPr>
      <w:t xml:space="preserve">Any views expressed are </w:t>
    </w:r>
    <w:r>
      <w:rPr>
        <w:i/>
        <w:sz w:val="28"/>
        <w:szCs w:val="28"/>
      </w:rPr>
      <w:t xml:space="preserve">the preliminary views of the Commission services </w:t>
    </w:r>
    <w:r w:rsidRPr="00291AAE">
      <w:rPr>
        <w:i/>
        <w:sz w:val="28"/>
        <w:szCs w:val="28"/>
      </w:rPr>
      <w:t xml:space="preserve">and may not in any circumstances be regarded as stating an official position of the Commission. The information transmitted is intended only for the </w:t>
    </w:r>
    <w:r>
      <w:rPr>
        <w:i/>
        <w:sz w:val="28"/>
        <w:szCs w:val="28"/>
      </w:rPr>
      <w:t>Member State</w:t>
    </w:r>
    <w:r w:rsidRPr="00291AAE">
      <w:rPr>
        <w:i/>
        <w:sz w:val="28"/>
        <w:szCs w:val="28"/>
      </w:rPr>
      <w:t xml:space="preserve"> or entity to which it is addressed </w:t>
    </w:r>
    <w:r>
      <w:rPr>
        <w:i/>
        <w:sz w:val="28"/>
        <w:szCs w:val="28"/>
      </w:rPr>
      <w:t xml:space="preserve">for discussions </w:t>
    </w:r>
    <w:r w:rsidRPr="00291AAE">
      <w:rPr>
        <w:i/>
        <w:sz w:val="28"/>
        <w:szCs w:val="28"/>
      </w:rPr>
      <w:t>and may contain confidential and/or privileged material. </w:t>
    </w:r>
  </w:p>
  <w:p w14:paraId="7D3ED9B0" w14:textId="77777777" w:rsidR="00B4648C" w:rsidRPr="00A53C64" w:rsidRDefault="00B4648C" w:rsidP="002C1F8F">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6CE0" w14:textId="77777777" w:rsidR="00B4648C" w:rsidRDefault="00B46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BA8"/>
    <w:multiLevelType w:val="hybridMultilevel"/>
    <w:tmpl w:val="77B4C9B6"/>
    <w:lvl w:ilvl="0" w:tplc="B7826796">
      <w:start w:val="2"/>
      <w:numFmt w:val="bullet"/>
      <w:lvlText w:val="-"/>
      <w:lvlJc w:val="left"/>
      <w:pPr>
        <w:ind w:left="405" w:hanging="360"/>
      </w:pPr>
      <w:rPr>
        <w:rFonts w:ascii="Times New Roman" w:eastAsia="Arial"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36960A1"/>
    <w:multiLevelType w:val="hybridMultilevel"/>
    <w:tmpl w:val="EFD69ED8"/>
    <w:lvl w:ilvl="0" w:tplc="33B4E25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0682C"/>
    <w:multiLevelType w:val="hybridMultilevel"/>
    <w:tmpl w:val="5B50A7E6"/>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DB3BC0"/>
    <w:multiLevelType w:val="hybridMultilevel"/>
    <w:tmpl w:val="A2CC1F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B1CA76A">
      <w:start w:val="1"/>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608A"/>
    <w:multiLevelType w:val="hybridMultilevel"/>
    <w:tmpl w:val="CD26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FD1411"/>
    <w:multiLevelType w:val="hybridMultilevel"/>
    <w:tmpl w:val="EFA8C04A"/>
    <w:lvl w:ilvl="0" w:tplc="ED3EF0B4">
      <w:start w:val="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101FE"/>
    <w:multiLevelType w:val="hybridMultilevel"/>
    <w:tmpl w:val="3FE6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A6E13"/>
    <w:multiLevelType w:val="hybridMultilevel"/>
    <w:tmpl w:val="4114257C"/>
    <w:lvl w:ilvl="0" w:tplc="68A045E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02306F4"/>
    <w:multiLevelType w:val="hybridMultilevel"/>
    <w:tmpl w:val="FC9A3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B77BE1"/>
    <w:multiLevelType w:val="hybridMultilevel"/>
    <w:tmpl w:val="A2FC4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70A29"/>
    <w:multiLevelType w:val="hybridMultilevel"/>
    <w:tmpl w:val="ECB0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E4D3E"/>
    <w:multiLevelType w:val="hybridMultilevel"/>
    <w:tmpl w:val="C04258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2D14A7D"/>
    <w:multiLevelType w:val="hybridMultilevel"/>
    <w:tmpl w:val="D10C5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07056C"/>
    <w:multiLevelType w:val="hybridMultilevel"/>
    <w:tmpl w:val="29528FA4"/>
    <w:lvl w:ilvl="0" w:tplc="5730342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A7B75"/>
    <w:multiLevelType w:val="hybridMultilevel"/>
    <w:tmpl w:val="5C407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7" w15:restartNumberingAfterBreak="0">
    <w:nsid w:val="7DDB7F31"/>
    <w:multiLevelType w:val="hybridMultilevel"/>
    <w:tmpl w:val="7834FC78"/>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17"/>
  </w:num>
  <w:num w:numId="6">
    <w:abstractNumId w:val="4"/>
  </w:num>
  <w:num w:numId="7">
    <w:abstractNumId w:val="10"/>
  </w:num>
  <w:num w:numId="8">
    <w:abstractNumId w:val="7"/>
  </w:num>
  <w:num w:numId="9">
    <w:abstractNumId w:val="12"/>
  </w:num>
  <w:num w:numId="10">
    <w:abstractNumId w:val="8"/>
  </w:num>
  <w:num w:numId="11">
    <w:abstractNumId w:val="13"/>
  </w:num>
  <w:num w:numId="12">
    <w:abstractNumId w:val="16"/>
  </w:num>
  <w:num w:numId="13">
    <w:abstractNumId w:val="2"/>
  </w:num>
  <w:num w:numId="14">
    <w:abstractNumId w:val="5"/>
  </w:num>
  <w:num w:numId="15">
    <w:abstractNumId w:val="5"/>
  </w:num>
  <w:num w:numId="16">
    <w:abstractNumId w:val="5"/>
  </w:num>
  <w:num w:numId="17">
    <w:abstractNumId w:val="0"/>
  </w:num>
  <w:num w:numId="18">
    <w:abstractNumId w:val="1"/>
  </w:num>
  <w:num w:numId="19">
    <w:abstractNumId w:val="6"/>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w:docVar w:name="LW_ANNEX_NBR_FIRST" w:val="1"/>
    <w:docVar w:name="LW_ANNEX_NBR_LAST" w:val="1"/>
    <w:docVar w:name="LW_ANNEX_UNIQUE" w:val="1"/>
    <w:docVar w:name="LW_CORRIGENDUM" w:val="&lt;UNUSED&gt;"/>
    <w:docVar w:name="LW_COVERPAGE_EXISTS" w:val="True"/>
    <w:docVar w:name="LW_COVERPAGE_GUID" w:val="82999ACE-C565-4CC1-94D9-9B1E86CD1F85"/>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mandatory element] "/>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COMMISSION IMPLEMENTING REGULATION (EU) No\u8230? /.. on the performance of analytical methods for pharmacologically active substances, the interpretation of results and the methods to be used for sampling"/>
  </w:docVars>
  <w:rsids>
    <w:rsidRoot w:val="00803E1D"/>
    <w:rsid w:val="00000B26"/>
    <w:rsid w:val="00001754"/>
    <w:rsid w:val="000030D7"/>
    <w:rsid w:val="00004E8D"/>
    <w:rsid w:val="00004FD7"/>
    <w:rsid w:val="00010BB5"/>
    <w:rsid w:val="00011564"/>
    <w:rsid w:val="000150DE"/>
    <w:rsid w:val="00016CF2"/>
    <w:rsid w:val="00021449"/>
    <w:rsid w:val="000348E0"/>
    <w:rsid w:val="00035B69"/>
    <w:rsid w:val="000376D3"/>
    <w:rsid w:val="000401EF"/>
    <w:rsid w:val="00047E91"/>
    <w:rsid w:val="000505A2"/>
    <w:rsid w:val="00051166"/>
    <w:rsid w:val="000525B9"/>
    <w:rsid w:val="00052C4C"/>
    <w:rsid w:val="00063840"/>
    <w:rsid w:val="00065AA9"/>
    <w:rsid w:val="00065CA3"/>
    <w:rsid w:val="00073AF3"/>
    <w:rsid w:val="00074243"/>
    <w:rsid w:val="0007433C"/>
    <w:rsid w:val="00080DFE"/>
    <w:rsid w:val="000837AB"/>
    <w:rsid w:val="00086C3E"/>
    <w:rsid w:val="000A03D9"/>
    <w:rsid w:val="000A4189"/>
    <w:rsid w:val="000A43DE"/>
    <w:rsid w:val="000B5A59"/>
    <w:rsid w:val="000B767A"/>
    <w:rsid w:val="000C1323"/>
    <w:rsid w:val="000D1A54"/>
    <w:rsid w:val="000D66C6"/>
    <w:rsid w:val="000D7222"/>
    <w:rsid w:val="000E0975"/>
    <w:rsid w:val="000E398C"/>
    <w:rsid w:val="000F6E43"/>
    <w:rsid w:val="000F7978"/>
    <w:rsid w:val="00100BA3"/>
    <w:rsid w:val="00103A6F"/>
    <w:rsid w:val="001049D5"/>
    <w:rsid w:val="00107257"/>
    <w:rsid w:val="00107348"/>
    <w:rsid w:val="0011172A"/>
    <w:rsid w:val="0011483F"/>
    <w:rsid w:val="00116D87"/>
    <w:rsid w:val="00125282"/>
    <w:rsid w:val="001271CB"/>
    <w:rsid w:val="0014037B"/>
    <w:rsid w:val="00140A18"/>
    <w:rsid w:val="001420BB"/>
    <w:rsid w:val="00145C47"/>
    <w:rsid w:val="00152A35"/>
    <w:rsid w:val="00152EA7"/>
    <w:rsid w:val="001545FE"/>
    <w:rsid w:val="0015793D"/>
    <w:rsid w:val="0016136E"/>
    <w:rsid w:val="00161E60"/>
    <w:rsid w:val="00164523"/>
    <w:rsid w:val="001741AF"/>
    <w:rsid w:val="00176BB3"/>
    <w:rsid w:val="00181ECB"/>
    <w:rsid w:val="00184405"/>
    <w:rsid w:val="0018453B"/>
    <w:rsid w:val="00185FF3"/>
    <w:rsid w:val="00190A3C"/>
    <w:rsid w:val="00194FB6"/>
    <w:rsid w:val="001A1E34"/>
    <w:rsid w:val="001A3438"/>
    <w:rsid w:val="001A383B"/>
    <w:rsid w:val="001A4DEE"/>
    <w:rsid w:val="001A5CD4"/>
    <w:rsid w:val="001A64F9"/>
    <w:rsid w:val="001A6D7B"/>
    <w:rsid w:val="001B0FDD"/>
    <w:rsid w:val="001B11C6"/>
    <w:rsid w:val="001B6D95"/>
    <w:rsid w:val="001B7B11"/>
    <w:rsid w:val="001C4D67"/>
    <w:rsid w:val="001C570E"/>
    <w:rsid w:val="001C6620"/>
    <w:rsid w:val="001C76ED"/>
    <w:rsid w:val="001D007F"/>
    <w:rsid w:val="001D0C72"/>
    <w:rsid w:val="001D10C0"/>
    <w:rsid w:val="001D1532"/>
    <w:rsid w:val="001E0DAC"/>
    <w:rsid w:val="001E0F6B"/>
    <w:rsid w:val="001E256B"/>
    <w:rsid w:val="001E54BF"/>
    <w:rsid w:val="001E6612"/>
    <w:rsid w:val="001F0008"/>
    <w:rsid w:val="001F17B0"/>
    <w:rsid w:val="001F2AA1"/>
    <w:rsid w:val="001F2CAB"/>
    <w:rsid w:val="001F6F26"/>
    <w:rsid w:val="001F7DE6"/>
    <w:rsid w:val="00200E95"/>
    <w:rsid w:val="00202E90"/>
    <w:rsid w:val="0020404E"/>
    <w:rsid w:val="002046AF"/>
    <w:rsid w:val="002052E8"/>
    <w:rsid w:val="00216FA6"/>
    <w:rsid w:val="00222B7F"/>
    <w:rsid w:val="00227220"/>
    <w:rsid w:val="00227A31"/>
    <w:rsid w:val="00232280"/>
    <w:rsid w:val="00234D4B"/>
    <w:rsid w:val="00234FDE"/>
    <w:rsid w:val="00236413"/>
    <w:rsid w:val="00237959"/>
    <w:rsid w:val="002408D8"/>
    <w:rsid w:val="00241AEE"/>
    <w:rsid w:val="0024613D"/>
    <w:rsid w:val="00250259"/>
    <w:rsid w:val="00255C5B"/>
    <w:rsid w:val="00256DDF"/>
    <w:rsid w:val="00257E0D"/>
    <w:rsid w:val="0026125D"/>
    <w:rsid w:val="00266E08"/>
    <w:rsid w:val="00274567"/>
    <w:rsid w:val="002821AB"/>
    <w:rsid w:val="00283F30"/>
    <w:rsid w:val="00285362"/>
    <w:rsid w:val="00285CA4"/>
    <w:rsid w:val="002865C4"/>
    <w:rsid w:val="00287383"/>
    <w:rsid w:val="00294634"/>
    <w:rsid w:val="00294B9E"/>
    <w:rsid w:val="002A3B75"/>
    <w:rsid w:val="002A6C4F"/>
    <w:rsid w:val="002B0554"/>
    <w:rsid w:val="002B1DD7"/>
    <w:rsid w:val="002B33CE"/>
    <w:rsid w:val="002B601E"/>
    <w:rsid w:val="002B729F"/>
    <w:rsid w:val="002C0597"/>
    <w:rsid w:val="002C084F"/>
    <w:rsid w:val="002C1F8F"/>
    <w:rsid w:val="002C24C4"/>
    <w:rsid w:val="002C330A"/>
    <w:rsid w:val="002C3C10"/>
    <w:rsid w:val="002C549D"/>
    <w:rsid w:val="002C664D"/>
    <w:rsid w:val="002C7CDB"/>
    <w:rsid w:val="002D5626"/>
    <w:rsid w:val="002E72BA"/>
    <w:rsid w:val="002F054B"/>
    <w:rsid w:val="002F2D57"/>
    <w:rsid w:val="002F3137"/>
    <w:rsid w:val="002F5898"/>
    <w:rsid w:val="002F5FDC"/>
    <w:rsid w:val="002F7632"/>
    <w:rsid w:val="0030037B"/>
    <w:rsid w:val="00302FF6"/>
    <w:rsid w:val="003045E5"/>
    <w:rsid w:val="003062DA"/>
    <w:rsid w:val="0031168F"/>
    <w:rsid w:val="00312E9D"/>
    <w:rsid w:val="00314EFE"/>
    <w:rsid w:val="003169E4"/>
    <w:rsid w:val="00325213"/>
    <w:rsid w:val="00333CDD"/>
    <w:rsid w:val="00335AF8"/>
    <w:rsid w:val="00336001"/>
    <w:rsid w:val="00340591"/>
    <w:rsid w:val="00345D43"/>
    <w:rsid w:val="00345EBF"/>
    <w:rsid w:val="00347475"/>
    <w:rsid w:val="00350D80"/>
    <w:rsid w:val="00352129"/>
    <w:rsid w:val="00352962"/>
    <w:rsid w:val="00352DCB"/>
    <w:rsid w:val="00353351"/>
    <w:rsid w:val="00362E2D"/>
    <w:rsid w:val="0037324E"/>
    <w:rsid w:val="00373D8E"/>
    <w:rsid w:val="003744B5"/>
    <w:rsid w:val="00385B76"/>
    <w:rsid w:val="0039343D"/>
    <w:rsid w:val="00394C50"/>
    <w:rsid w:val="003972A0"/>
    <w:rsid w:val="003A1751"/>
    <w:rsid w:val="003A5543"/>
    <w:rsid w:val="003A5B96"/>
    <w:rsid w:val="003A7074"/>
    <w:rsid w:val="003B2AB6"/>
    <w:rsid w:val="003B69EB"/>
    <w:rsid w:val="003B74BD"/>
    <w:rsid w:val="003C0AA5"/>
    <w:rsid w:val="003C47D1"/>
    <w:rsid w:val="003C5851"/>
    <w:rsid w:val="003C5D9B"/>
    <w:rsid w:val="003C6129"/>
    <w:rsid w:val="003D11EA"/>
    <w:rsid w:val="003D233F"/>
    <w:rsid w:val="003D3EF6"/>
    <w:rsid w:val="003D3F60"/>
    <w:rsid w:val="003D45E2"/>
    <w:rsid w:val="003D6133"/>
    <w:rsid w:val="003E026C"/>
    <w:rsid w:val="003E040C"/>
    <w:rsid w:val="003E2BFC"/>
    <w:rsid w:val="003E45D8"/>
    <w:rsid w:val="003E60AA"/>
    <w:rsid w:val="003E771E"/>
    <w:rsid w:val="003F31BC"/>
    <w:rsid w:val="003F3EEE"/>
    <w:rsid w:val="003F6ED2"/>
    <w:rsid w:val="00403B5F"/>
    <w:rsid w:val="0040627B"/>
    <w:rsid w:val="0041332B"/>
    <w:rsid w:val="0041495B"/>
    <w:rsid w:val="00416120"/>
    <w:rsid w:val="004175AB"/>
    <w:rsid w:val="00430D2D"/>
    <w:rsid w:val="0044067C"/>
    <w:rsid w:val="00441DFE"/>
    <w:rsid w:val="00444CDF"/>
    <w:rsid w:val="00447498"/>
    <w:rsid w:val="00447DD8"/>
    <w:rsid w:val="00451953"/>
    <w:rsid w:val="00451EF9"/>
    <w:rsid w:val="00454730"/>
    <w:rsid w:val="00454AA6"/>
    <w:rsid w:val="00455FBF"/>
    <w:rsid w:val="00456142"/>
    <w:rsid w:val="00457DCA"/>
    <w:rsid w:val="0046454A"/>
    <w:rsid w:val="004738BE"/>
    <w:rsid w:val="004761C4"/>
    <w:rsid w:val="004835C1"/>
    <w:rsid w:val="00490869"/>
    <w:rsid w:val="00491BE6"/>
    <w:rsid w:val="004926D6"/>
    <w:rsid w:val="004928D3"/>
    <w:rsid w:val="0049612D"/>
    <w:rsid w:val="004A0F3C"/>
    <w:rsid w:val="004A1C9D"/>
    <w:rsid w:val="004A6681"/>
    <w:rsid w:val="004B221C"/>
    <w:rsid w:val="004B3FEE"/>
    <w:rsid w:val="004C2656"/>
    <w:rsid w:val="004C29E6"/>
    <w:rsid w:val="004C431F"/>
    <w:rsid w:val="004C5CEA"/>
    <w:rsid w:val="004C7EB8"/>
    <w:rsid w:val="004D247F"/>
    <w:rsid w:val="004D2BC3"/>
    <w:rsid w:val="004D2DA8"/>
    <w:rsid w:val="004D3409"/>
    <w:rsid w:val="004E0063"/>
    <w:rsid w:val="004E542F"/>
    <w:rsid w:val="004E5BE9"/>
    <w:rsid w:val="004E7986"/>
    <w:rsid w:val="004E7DBD"/>
    <w:rsid w:val="004F2BF0"/>
    <w:rsid w:val="004F40BB"/>
    <w:rsid w:val="004F463F"/>
    <w:rsid w:val="00501C92"/>
    <w:rsid w:val="00502708"/>
    <w:rsid w:val="00504D91"/>
    <w:rsid w:val="00513987"/>
    <w:rsid w:val="00517835"/>
    <w:rsid w:val="00517E9E"/>
    <w:rsid w:val="00517FF8"/>
    <w:rsid w:val="00522EF7"/>
    <w:rsid w:val="00525DBE"/>
    <w:rsid w:val="0052675E"/>
    <w:rsid w:val="00530FAF"/>
    <w:rsid w:val="00535F79"/>
    <w:rsid w:val="00536003"/>
    <w:rsid w:val="005372CB"/>
    <w:rsid w:val="0054006A"/>
    <w:rsid w:val="00540758"/>
    <w:rsid w:val="00542014"/>
    <w:rsid w:val="00542C8A"/>
    <w:rsid w:val="005450F6"/>
    <w:rsid w:val="00553483"/>
    <w:rsid w:val="0055385F"/>
    <w:rsid w:val="00556035"/>
    <w:rsid w:val="005567CE"/>
    <w:rsid w:val="005626FC"/>
    <w:rsid w:val="005675E9"/>
    <w:rsid w:val="00570AE8"/>
    <w:rsid w:val="00576E70"/>
    <w:rsid w:val="00577A55"/>
    <w:rsid w:val="00582BB4"/>
    <w:rsid w:val="005832B2"/>
    <w:rsid w:val="0058330F"/>
    <w:rsid w:val="0058394B"/>
    <w:rsid w:val="00591C1A"/>
    <w:rsid w:val="00593714"/>
    <w:rsid w:val="005950BE"/>
    <w:rsid w:val="00595A7B"/>
    <w:rsid w:val="00597F98"/>
    <w:rsid w:val="005A152B"/>
    <w:rsid w:val="005B12E7"/>
    <w:rsid w:val="005B1343"/>
    <w:rsid w:val="005B1912"/>
    <w:rsid w:val="005B3891"/>
    <w:rsid w:val="005B5945"/>
    <w:rsid w:val="005D5047"/>
    <w:rsid w:val="005D5F5E"/>
    <w:rsid w:val="005D6C2F"/>
    <w:rsid w:val="005D7EC4"/>
    <w:rsid w:val="005D7ED3"/>
    <w:rsid w:val="005E3C82"/>
    <w:rsid w:val="005E443E"/>
    <w:rsid w:val="005E7FC6"/>
    <w:rsid w:val="005F04CA"/>
    <w:rsid w:val="005F3682"/>
    <w:rsid w:val="005F53E1"/>
    <w:rsid w:val="0060265F"/>
    <w:rsid w:val="006051C7"/>
    <w:rsid w:val="00606799"/>
    <w:rsid w:val="00614D23"/>
    <w:rsid w:val="006178AF"/>
    <w:rsid w:val="00617EF1"/>
    <w:rsid w:val="00620238"/>
    <w:rsid w:val="006230B6"/>
    <w:rsid w:val="00624868"/>
    <w:rsid w:val="00627B48"/>
    <w:rsid w:val="006509DC"/>
    <w:rsid w:val="00650E32"/>
    <w:rsid w:val="006554DD"/>
    <w:rsid w:val="00655DA9"/>
    <w:rsid w:val="00661D82"/>
    <w:rsid w:val="006639E1"/>
    <w:rsid w:val="00666743"/>
    <w:rsid w:val="00666EB3"/>
    <w:rsid w:val="00670DCB"/>
    <w:rsid w:val="00672ADA"/>
    <w:rsid w:val="006766EC"/>
    <w:rsid w:val="00680416"/>
    <w:rsid w:val="0068293C"/>
    <w:rsid w:val="00682B44"/>
    <w:rsid w:val="00684808"/>
    <w:rsid w:val="00686335"/>
    <w:rsid w:val="006877A1"/>
    <w:rsid w:val="00690A72"/>
    <w:rsid w:val="00692C15"/>
    <w:rsid w:val="006932E1"/>
    <w:rsid w:val="00697049"/>
    <w:rsid w:val="0069799B"/>
    <w:rsid w:val="006A0550"/>
    <w:rsid w:val="006A247B"/>
    <w:rsid w:val="006A44C9"/>
    <w:rsid w:val="006A4EB4"/>
    <w:rsid w:val="006B4172"/>
    <w:rsid w:val="006B6216"/>
    <w:rsid w:val="006C1F79"/>
    <w:rsid w:val="006C36BA"/>
    <w:rsid w:val="006C44FF"/>
    <w:rsid w:val="006D73A9"/>
    <w:rsid w:val="006E116B"/>
    <w:rsid w:val="006F6E32"/>
    <w:rsid w:val="007020E6"/>
    <w:rsid w:val="0070341A"/>
    <w:rsid w:val="00704055"/>
    <w:rsid w:val="00707A0A"/>
    <w:rsid w:val="00710586"/>
    <w:rsid w:val="00712E4F"/>
    <w:rsid w:val="007141ED"/>
    <w:rsid w:val="00715B07"/>
    <w:rsid w:val="00720315"/>
    <w:rsid w:val="00721E38"/>
    <w:rsid w:val="0072475C"/>
    <w:rsid w:val="00725F0F"/>
    <w:rsid w:val="00730B2E"/>
    <w:rsid w:val="007520B4"/>
    <w:rsid w:val="00757B38"/>
    <w:rsid w:val="00762DD7"/>
    <w:rsid w:val="007648CE"/>
    <w:rsid w:val="007677A5"/>
    <w:rsid w:val="00772F38"/>
    <w:rsid w:val="00775479"/>
    <w:rsid w:val="007768AF"/>
    <w:rsid w:val="007834C6"/>
    <w:rsid w:val="00793651"/>
    <w:rsid w:val="0079485D"/>
    <w:rsid w:val="0079721D"/>
    <w:rsid w:val="00797C7A"/>
    <w:rsid w:val="007B2CA6"/>
    <w:rsid w:val="007B5384"/>
    <w:rsid w:val="007B7E1B"/>
    <w:rsid w:val="007C05ED"/>
    <w:rsid w:val="007C09FB"/>
    <w:rsid w:val="007C1DD3"/>
    <w:rsid w:val="007C797D"/>
    <w:rsid w:val="007D25D5"/>
    <w:rsid w:val="007D5BD7"/>
    <w:rsid w:val="007E09A6"/>
    <w:rsid w:val="007E36E4"/>
    <w:rsid w:val="007E6C4F"/>
    <w:rsid w:val="007F1037"/>
    <w:rsid w:val="007F1094"/>
    <w:rsid w:val="007F3C1E"/>
    <w:rsid w:val="00801C23"/>
    <w:rsid w:val="00803D5F"/>
    <w:rsid w:val="00803E1D"/>
    <w:rsid w:val="008064EA"/>
    <w:rsid w:val="008146F1"/>
    <w:rsid w:val="00815746"/>
    <w:rsid w:val="00816876"/>
    <w:rsid w:val="00816FB4"/>
    <w:rsid w:val="0082496D"/>
    <w:rsid w:val="00830EA9"/>
    <w:rsid w:val="0083542D"/>
    <w:rsid w:val="00837AB2"/>
    <w:rsid w:val="00837F43"/>
    <w:rsid w:val="00840927"/>
    <w:rsid w:val="008412E9"/>
    <w:rsid w:val="00843C82"/>
    <w:rsid w:val="00851866"/>
    <w:rsid w:val="00852754"/>
    <w:rsid w:val="00853E2D"/>
    <w:rsid w:val="00857CB3"/>
    <w:rsid w:val="008602D5"/>
    <w:rsid w:val="00860477"/>
    <w:rsid w:val="0086052E"/>
    <w:rsid w:val="00863511"/>
    <w:rsid w:val="008645D1"/>
    <w:rsid w:val="00864C2F"/>
    <w:rsid w:val="00867E29"/>
    <w:rsid w:val="00871310"/>
    <w:rsid w:val="00882505"/>
    <w:rsid w:val="008846E1"/>
    <w:rsid w:val="00886EE3"/>
    <w:rsid w:val="00887576"/>
    <w:rsid w:val="008A490D"/>
    <w:rsid w:val="008A4A36"/>
    <w:rsid w:val="008A50B1"/>
    <w:rsid w:val="008B32EA"/>
    <w:rsid w:val="008B4182"/>
    <w:rsid w:val="008B4E38"/>
    <w:rsid w:val="008C34D5"/>
    <w:rsid w:val="008C5CF0"/>
    <w:rsid w:val="008C6FD4"/>
    <w:rsid w:val="008C7458"/>
    <w:rsid w:val="008D1C80"/>
    <w:rsid w:val="008D2644"/>
    <w:rsid w:val="008D5F36"/>
    <w:rsid w:val="008E2393"/>
    <w:rsid w:val="008E250C"/>
    <w:rsid w:val="008E36A2"/>
    <w:rsid w:val="008E3B9A"/>
    <w:rsid w:val="008F155D"/>
    <w:rsid w:val="008F1F91"/>
    <w:rsid w:val="008F2825"/>
    <w:rsid w:val="008F7864"/>
    <w:rsid w:val="00903E03"/>
    <w:rsid w:val="00905EA5"/>
    <w:rsid w:val="00906966"/>
    <w:rsid w:val="00906BA4"/>
    <w:rsid w:val="009118AF"/>
    <w:rsid w:val="009119A5"/>
    <w:rsid w:val="009170F8"/>
    <w:rsid w:val="00917B7B"/>
    <w:rsid w:val="00921ACA"/>
    <w:rsid w:val="009232BF"/>
    <w:rsid w:val="00924C02"/>
    <w:rsid w:val="00924F3D"/>
    <w:rsid w:val="0092680A"/>
    <w:rsid w:val="00926873"/>
    <w:rsid w:val="00931416"/>
    <w:rsid w:val="00932061"/>
    <w:rsid w:val="00932621"/>
    <w:rsid w:val="0093298D"/>
    <w:rsid w:val="00937704"/>
    <w:rsid w:val="0094235A"/>
    <w:rsid w:val="00944F76"/>
    <w:rsid w:val="009474D7"/>
    <w:rsid w:val="00947836"/>
    <w:rsid w:val="00950DF8"/>
    <w:rsid w:val="00953C36"/>
    <w:rsid w:val="00955D8B"/>
    <w:rsid w:val="00956951"/>
    <w:rsid w:val="0095753B"/>
    <w:rsid w:val="0096064B"/>
    <w:rsid w:val="00960C75"/>
    <w:rsid w:val="0096197E"/>
    <w:rsid w:val="00964E08"/>
    <w:rsid w:val="0096783E"/>
    <w:rsid w:val="009711BE"/>
    <w:rsid w:val="009735FC"/>
    <w:rsid w:val="00974BCC"/>
    <w:rsid w:val="00975974"/>
    <w:rsid w:val="00977637"/>
    <w:rsid w:val="00983167"/>
    <w:rsid w:val="00985900"/>
    <w:rsid w:val="00986187"/>
    <w:rsid w:val="00986601"/>
    <w:rsid w:val="00987787"/>
    <w:rsid w:val="00987BCC"/>
    <w:rsid w:val="00994F2E"/>
    <w:rsid w:val="009977EE"/>
    <w:rsid w:val="009A2059"/>
    <w:rsid w:val="009A3765"/>
    <w:rsid w:val="009A6568"/>
    <w:rsid w:val="009A7D64"/>
    <w:rsid w:val="009B016F"/>
    <w:rsid w:val="009B233A"/>
    <w:rsid w:val="009B43AA"/>
    <w:rsid w:val="009B6C7F"/>
    <w:rsid w:val="009C1348"/>
    <w:rsid w:val="009C21FA"/>
    <w:rsid w:val="009C379E"/>
    <w:rsid w:val="009C5AD8"/>
    <w:rsid w:val="009C5DD2"/>
    <w:rsid w:val="009C62BE"/>
    <w:rsid w:val="009D065C"/>
    <w:rsid w:val="009D1B1F"/>
    <w:rsid w:val="009D1BE4"/>
    <w:rsid w:val="009D27E5"/>
    <w:rsid w:val="009D2D35"/>
    <w:rsid w:val="009D6648"/>
    <w:rsid w:val="009D7EB7"/>
    <w:rsid w:val="009E18CC"/>
    <w:rsid w:val="009E2265"/>
    <w:rsid w:val="009E419C"/>
    <w:rsid w:val="009E6023"/>
    <w:rsid w:val="009F0B36"/>
    <w:rsid w:val="009F1710"/>
    <w:rsid w:val="009F30C7"/>
    <w:rsid w:val="009F4637"/>
    <w:rsid w:val="009F4E47"/>
    <w:rsid w:val="009F6B55"/>
    <w:rsid w:val="009F75DB"/>
    <w:rsid w:val="00A10978"/>
    <w:rsid w:val="00A156BF"/>
    <w:rsid w:val="00A158D7"/>
    <w:rsid w:val="00A16907"/>
    <w:rsid w:val="00A17553"/>
    <w:rsid w:val="00A210E2"/>
    <w:rsid w:val="00A21BFA"/>
    <w:rsid w:val="00A24BCC"/>
    <w:rsid w:val="00A27060"/>
    <w:rsid w:val="00A27772"/>
    <w:rsid w:val="00A30203"/>
    <w:rsid w:val="00A3028E"/>
    <w:rsid w:val="00A31358"/>
    <w:rsid w:val="00A31779"/>
    <w:rsid w:val="00A40B52"/>
    <w:rsid w:val="00A437CA"/>
    <w:rsid w:val="00A461FC"/>
    <w:rsid w:val="00A462C9"/>
    <w:rsid w:val="00A4770F"/>
    <w:rsid w:val="00A5019F"/>
    <w:rsid w:val="00A51504"/>
    <w:rsid w:val="00A53CCA"/>
    <w:rsid w:val="00A53F20"/>
    <w:rsid w:val="00A601AF"/>
    <w:rsid w:val="00A60CDB"/>
    <w:rsid w:val="00A62247"/>
    <w:rsid w:val="00A6272A"/>
    <w:rsid w:val="00A635B1"/>
    <w:rsid w:val="00A667D8"/>
    <w:rsid w:val="00A67EFB"/>
    <w:rsid w:val="00A71048"/>
    <w:rsid w:val="00A726C9"/>
    <w:rsid w:val="00A73D5E"/>
    <w:rsid w:val="00A760F5"/>
    <w:rsid w:val="00A81224"/>
    <w:rsid w:val="00A86CA2"/>
    <w:rsid w:val="00A90012"/>
    <w:rsid w:val="00A9202F"/>
    <w:rsid w:val="00AA0C70"/>
    <w:rsid w:val="00AC0638"/>
    <w:rsid w:val="00AC2869"/>
    <w:rsid w:val="00AC52E1"/>
    <w:rsid w:val="00AC62D1"/>
    <w:rsid w:val="00AD02F2"/>
    <w:rsid w:val="00AD5287"/>
    <w:rsid w:val="00AE1303"/>
    <w:rsid w:val="00AE2A50"/>
    <w:rsid w:val="00AE3962"/>
    <w:rsid w:val="00AE5A49"/>
    <w:rsid w:val="00AF05F9"/>
    <w:rsid w:val="00AF0A9F"/>
    <w:rsid w:val="00AF56CE"/>
    <w:rsid w:val="00B01B25"/>
    <w:rsid w:val="00B056BE"/>
    <w:rsid w:val="00B1192A"/>
    <w:rsid w:val="00B129A4"/>
    <w:rsid w:val="00B2006E"/>
    <w:rsid w:val="00B23B75"/>
    <w:rsid w:val="00B2555E"/>
    <w:rsid w:val="00B264C4"/>
    <w:rsid w:val="00B265E2"/>
    <w:rsid w:val="00B34F37"/>
    <w:rsid w:val="00B4020A"/>
    <w:rsid w:val="00B41B00"/>
    <w:rsid w:val="00B422E7"/>
    <w:rsid w:val="00B438B8"/>
    <w:rsid w:val="00B44F8B"/>
    <w:rsid w:val="00B4513D"/>
    <w:rsid w:val="00B4648C"/>
    <w:rsid w:val="00B546EB"/>
    <w:rsid w:val="00B549C4"/>
    <w:rsid w:val="00B57EEB"/>
    <w:rsid w:val="00B64D1E"/>
    <w:rsid w:val="00B65B6E"/>
    <w:rsid w:val="00B66304"/>
    <w:rsid w:val="00B7163A"/>
    <w:rsid w:val="00B719A1"/>
    <w:rsid w:val="00B74839"/>
    <w:rsid w:val="00B76DD5"/>
    <w:rsid w:val="00B902BC"/>
    <w:rsid w:val="00B92981"/>
    <w:rsid w:val="00B92B73"/>
    <w:rsid w:val="00B95E76"/>
    <w:rsid w:val="00B97935"/>
    <w:rsid w:val="00BA2A98"/>
    <w:rsid w:val="00BA3B48"/>
    <w:rsid w:val="00BA3E9B"/>
    <w:rsid w:val="00BB2BFE"/>
    <w:rsid w:val="00BB2E5C"/>
    <w:rsid w:val="00BB4C21"/>
    <w:rsid w:val="00BB6BB6"/>
    <w:rsid w:val="00BC117B"/>
    <w:rsid w:val="00BC15DE"/>
    <w:rsid w:val="00BC182E"/>
    <w:rsid w:val="00BC1A85"/>
    <w:rsid w:val="00BC7EE6"/>
    <w:rsid w:val="00BD0117"/>
    <w:rsid w:val="00BD1501"/>
    <w:rsid w:val="00BD639E"/>
    <w:rsid w:val="00BE07A8"/>
    <w:rsid w:val="00BE0866"/>
    <w:rsid w:val="00BE087C"/>
    <w:rsid w:val="00BE26FD"/>
    <w:rsid w:val="00BF37FE"/>
    <w:rsid w:val="00BF5407"/>
    <w:rsid w:val="00BF5577"/>
    <w:rsid w:val="00BF58A4"/>
    <w:rsid w:val="00BF7F2A"/>
    <w:rsid w:val="00C01A02"/>
    <w:rsid w:val="00C032FE"/>
    <w:rsid w:val="00C074F3"/>
    <w:rsid w:val="00C07DAC"/>
    <w:rsid w:val="00C11319"/>
    <w:rsid w:val="00C167E8"/>
    <w:rsid w:val="00C174E1"/>
    <w:rsid w:val="00C176EB"/>
    <w:rsid w:val="00C22302"/>
    <w:rsid w:val="00C23D8D"/>
    <w:rsid w:val="00C26F94"/>
    <w:rsid w:val="00C27516"/>
    <w:rsid w:val="00C3233D"/>
    <w:rsid w:val="00C36DE5"/>
    <w:rsid w:val="00C4310C"/>
    <w:rsid w:val="00C47C55"/>
    <w:rsid w:val="00C5215B"/>
    <w:rsid w:val="00C5251A"/>
    <w:rsid w:val="00C52A5A"/>
    <w:rsid w:val="00C568C4"/>
    <w:rsid w:val="00C625BD"/>
    <w:rsid w:val="00C64494"/>
    <w:rsid w:val="00C663B2"/>
    <w:rsid w:val="00C707B1"/>
    <w:rsid w:val="00C73CC6"/>
    <w:rsid w:val="00C74210"/>
    <w:rsid w:val="00C74F7A"/>
    <w:rsid w:val="00C77C8B"/>
    <w:rsid w:val="00C82519"/>
    <w:rsid w:val="00C82B49"/>
    <w:rsid w:val="00C8585B"/>
    <w:rsid w:val="00C90566"/>
    <w:rsid w:val="00C90AEA"/>
    <w:rsid w:val="00C9408E"/>
    <w:rsid w:val="00C94D15"/>
    <w:rsid w:val="00C953C1"/>
    <w:rsid w:val="00CA03DF"/>
    <w:rsid w:val="00CA2009"/>
    <w:rsid w:val="00CA2152"/>
    <w:rsid w:val="00CA6C18"/>
    <w:rsid w:val="00CB2DC5"/>
    <w:rsid w:val="00CB2E0A"/>
    <w:rsid w:val="00CB54E1"/>
    <w:rsid w:val="00CB6049"/>
    <w:rsid w:val="00CC046E"/>
    <w:rsid w:val="00CC1A4E"/>
    <w:rsid w:val="00CC23D2"/>
    <w:rsid w:val="00CD107D"/>
    <w:rsid w:val="00CD3B34"/>
    <w:rsid w:val="00CD463A"/>
    <w:rsid w:val="00CD72B2"/>
    <w:rsid w:val="00CF2D9D"/>
    <w:rsid w:val="00CF4F08"/>
    <w:rsid w:val="00CF6371"/>
    <w:rsid w:val="00CF723B"/>
    <w:rsid w:val="00D101FB"/>
    <w:rsid w:val="00D129B5"/>
    <w:rsid w:val="00D16E17"/>
    <w:rsid w:val="00D20358"/>
    <w:rsid w:val="00D20A2F"/>
    <w:rsid w:val="00D2181D"/>
    <w:rsid w:val="00D2308E"/>
    <w:rsid w:val="00D30C5D"/>
    <w:rsid w:val="00D316CB"/>
    <w:rsid w:val="00D3185D"/>
    <w:rsid w:val="00D3245E"/>
    <w:rsid w:val="00D33D6D"/>
    <w:rsid w:val="00D352C4"/>
    <w:rsid w:val="00D40068"/>
    <w:rsid w:val="00D41355"/>
    <w:rsid w:val="00D515D7"/>
    <w:rsid w:val="00D51975"/>
    <w:rsid w:val="00D53EAC"/>
    <w:rsid w:val="00D5443E"/>
    <w:rsid w:val="00D6009D"/>
    <w:rsid w:val="00D629EE"/>
    <w:rsid w:val="00D63941"/>
    <w:rsid w:val="00D66F68"/>
    <w:rsid w:val="00D67A8A"/>
    <w:rsid w:val="00D7007E"/>
    <w:rsid w:val="00D70523"/>
    <w:rsid w:val="00D7467B"/>
    <w:rsid w:val="00D74B6E"/>
    <w:rsid w:val="00D80139"/>
    <w:rsid w:val="00D82430"/>
    <w:rsid w:val="00D84CF7"/>
    <w:rsid w:val="00D84E6B"/>
    <w:rsid w:val="00D85CB1"/>
    <w:rsid w:val="00D9230D"/>
    <w:rsid w:val="00D9312F"/>
    <w:rsid w:val="00D952CA"/>
    <w:rsid w:val="00D964C0"/>
    <w:rsid w:val="00D97C45"/>
    <w:rsid w:val="00DA10AA"/>
    <w:rsid w:val="00DC0AE3"/>
    <w:rsid w:val="00DC16F8"/>
    <w:rsid w:val="00DC7D89"/>
    <w:rsid w:val="00DD24ED"/>
    <w:rsid w:val="00DD31F3"/>
    <w:rsid w:val="00DD6701"/>
    <w:rsid w:val="00DD67BC"/>
    <w:rsid w:val="00DD6A97"/>
    <w:rsid w:val="00DE0369"/>
    <w:rsid w:val="00DE1303"/>
    <w:rsid w:val="00DE241F"/>
    <w:rsid w:val="00DE5633"/>
    <w:rsid w:val="00DF049E"/>
    <w:rsid w:val="00DF5DC6"/>
    <w:rsid w:val="00DF5EEB"/>
    <w:rsid w:val="00E01501"/>
    <w:rsid w:val="00E037B7"/>
    <w:rsid w:val="00E06E3F"/>
    <w:rsid w:val="00E07A71"/>
    <w:rsid w:val="00E1224F"/>
    <w:rsid w:val="00E154D6"/>
    <w:rsid w:val="00E15799"/>
    <w:rsid w:val="00E17287"/>
    <w:rsid w:val="00E17D65"/>
    <w:rsid w:val="00E20107"/>
    <w:rsid w:val="00E2034F"/>
    <w:rsid w:val="00E204B4"/>
    <w:rsid w:val="00E27608"/>
    <w:rsid w:val="00E27D97"/>
    <w:rsid w:val="00E3173A"/>
    <w:rsid w:val="00E31872"/>
    <w:rsid w:val="00E3239D"/>
    <w:rsid w:val="00E33F9C"/>
    <w:rsid w:val="00E346E3"/>
    <w:rsid w:val="00E36939"/>
    <w:rsid w:val="00E3783C"/>
    <w:rsid w:val="00E4096B"/>
    <w:rsid w:val="00E40E38"/>
    <w:rsid w:val="00E42633"/>
    <w:rsid w:val="00E43370"/>
    <w:rsid w:val="00E449E4"/>
    <w:rsid w:val="00E55D8F"/>
    <w:rsid w:val="00E56108"/>
    <w:rsid w:val="00E56E47"/>
    <w:rsid w:val="00E62DD4"/>
    <w:rsid w:val="00E718F7"/>
    <w:rsid w:val="00E754CB"/>
    <w:rsid w:val="00E75600"/>
    <w:rsid w:val="00E75A26"/>
    <w:rsid w:val="00E7724F"/>
    <w:rsid w:val="00E82AB0"/>
    <w:rsid w:val="00E90A31"/>
    <w:rsid w:val="00E92068"/>
    <w:rsid w:val="00E937A2"/>
    <w:rsid w:val="00E93A2D"/>
    <w:rsid w:val="00E95F55"/>
    <w:rsid w:val="00E96E37"/>
    <w:rsid w:val="00EA4048"/>
    <w:rsid w:val="00EA4E77"/>
    <w:rsid w:val="00EA55CC"/>
    <w:rsid w:val="00EA670C"/>
    <w:rsid w:val="00EA6D3D"/>
    <w:rsid w:val="00EA773B"/>
    <w:rsid w:val="00EB1B2D"/>
    <w:rsid w:val="00EB2315"/>
    <w:rsid w:val="00EC3774"/>
    <w:rsid w:val="00EC3B28"/>
    <w:rsid w:val="00EC7480"/>
    <w:rsid w:val="00ED2C9D"/>
    <w:rsid w:val="00ED3820"/>
    <w:rsid w:val="00ED5750"/>
    <w:rsid w:val="00ED5FF8"/>
    <w:rsid w:val="00EE0409"/>
    <w:rsid w:val="00EE3187"/>
    <w:rsid w:val="00EE327F"/>
    <w:rsid w:val="00EE3B26"/>
    <w:rsid w:val="00EE4B52"/>
    <w:rsid w:val="00EE60C5"/>
    <w:rsid w:val="00EF7DC1"/>
    <w:rsid w:val="00F04FD7"/>
    <w:rsid w:val="00F118A3"/>
    <w:rsid w:val="00F12231"/>
    <w:rsid w:val="00F1237B"/>
    <w:rsid w:val="00F12A97"/>
    <w:rsid w:val="00F12AED"/>
    <w:rsid w:val="00F12B0E"/>
    <w:rsid w:val="00F13393"/>
    <w:rsid w:val="00F15179"/>
    <w:rsid w:val="00F16543"/>
    <w:rsid w:val="00F175A5"/>
    <w:rsid w:val="00F21D68"/>
    <w:rsid w:val="00F2306C"/>
    <w:rsid w:val="00F25423"/>
    <w:rsid w:val="00F27F42"/>
    <w:rsid w:val="00F31B73"/>
    <w:rsid w:val="00F34F50"/>
    <w:rsid w:val="00F369CD"/>
    <w:rsid w:val="00F3704C"/>
    <w:rsid w:val="00F40688"/>
    <w:rsid w:val="00F504C4"/>
    <w:rsid w:val="00F50D5D"/>
    <w:rsid w:val="00F54389"/>
    <w:rsid w:val="00F6597B"/>
    <w:rsid w:val="00F70062"/>
    <w:rsid w:val="00F768BE"/>
    <w:rsid w:val="00F82D48"/>
    <w:rsid w:val="00F86E58"/>
    <w:rsid w:val="00F91DB6"/>
    <w:rsid w:val="00F929D6"/>
    <w:rsid w:val="00F97247"/>
    <w:rsid w:val="00FA2460"/>
    <w:rsid w:val="00FA255E"/>
    <w:rsid w:val="00FA342E"/>
    <w:rsid w:val="00FA76F4"/>
    <w:rsid w:val="00FB1C6B"/>
    <w:rsid w:val="00FB29F1"/>
    <w:rsid w:val="00FC1CB2"/>
    <w:rsid w:val="00FC2A89"/>
    <w:rsid w:val="00FC3CC5"/>
    <w:rsid w:val="00FC40A2"/>
    <w:rsid w:val="00FC41CC"/>
    <w:rsid w:val="00FC5073"/>
    <w:rsid w:val="00FD3975"/>
    <w:rsid w:val="00FD5609"/>
    <w:rsid w:val="00FD7106"/>
    <w:rsid w:val="00FE0FE3"/>
    <w:rsid w:val="00FE1797"/>
    <w:rsid w:val="00FE3AD3"/>
    <w:rsid w:val="00FE4AAB"/>
    <w:rsid w:val="00FE51C6"/>
    <w:rsid w:val="00FE7D23"/>
    <w:rsid w:val="00FF351D"/>
    <w:rsid w:val="00FF4B6A"/>
    <w:rsid w:val="00FF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49EF8C1"/>
  <w15:docId w15:val="{1C22AF2C-B4B8-4CA3-9FF0-39C81E33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E1D"/>
    <w:pPr>
      <w:spacing w:before="120" w:after="12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A73D5E"/>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3D5E"/>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3D5E"/>
    <w:pPr>
      <w:keepNext/>
      <w:keepLines/>
      <w:spacing w:before="200" w:after="0" w:line="276"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A73D5E"/>
    <w:pPr>
      <w:keepNext/>
      <w:keepLines/>
      <w:spacing w:before="40" w:after="0" w:line="276" w:lineRule="auto"/>
      <w:jc w:val="left"/>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1D"/>
    <w:pPr>
      <w:tabs>
        <w:tab w:val="center" w:pos="4535"/>
        <w:tab w:val="right" w:pos="9071"/>
      </w:tabs>
      <w:spacing w:before="0"/>
    </w:pPr>
  </w:style>
  <w:style w:type="character" w:customStyle="1" w:styleId="HeaderChar">
    <w:name w:val="Header Char"/>
    <w:basedOn w:val="DefaultParagraphFont"/>
    <w:link w:val="Header"/>
    <w:uiPriority w:val="99"/>
    <w:rsid w:val="00803E1D"/>
    <w:rPr>
      <w:rFonts w:ascii="Times New Roman" w:hAnsi="Times New Roman" w:cs="Times New Roman"/>
      <w:sz w:val="24"/>
    </w:rPr>
  </w:style>
  <w:style w:type="paragraph" w:styleId="Footer">
    <w:name w:val="footer"/>
    <w:basedOn w:val="Normal"/>
    <w:link w:val="FooterChar"/>
    <w:uiPriority w:val="99"/>
    <w:unhideWhenUsed/>
    <w:rsid w:val="00803E1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03E1D"/>
    <w:rPr>
      <w:rFonts w:ascii="Times New Roman" w:hAnsi="Times New Roman" w:cs="Times New Roman"/>
      <w:sz w:val="24"/>
    </w:rPr>
  </w:style>
  <w:style w:type="paragraph" w:customStyle="1" w:styleId="HeaderLandscape">
    <w:name w:val="HeaderLandscape"/>
    <w:basedOn w:val="Normal"/>
    <w:rsid w:val="00803E1D"/>
    <w:pPr>
      <w:tabs>
        <w:tab w:val="center" w:pos="7285"/>
        <w:tab w:val="right" w:pos="14003"/>
      </w:tabs>
      <w:spacing w:before="0"/>
    </w:pPr>
  </w:style>
  <w:style w:type="paragraph" w:customStyle="1" w:styleId="FooterLandscape">
    <w:name w:val="FooterLandscape"/>
    <w:basedOn w:val="Normal"/>
    <w:rsid w:val="00803E1D"/>
    <w:pPr>
      <w:tabs>
        <w:tab w:val="center" w:pos="7285"/>
        <w:tab w:val="center" w:pos="10913"/>
        <w:tab w:val="right" w:pos="15137"/>
      </w:tabs>
      <w:spacing w:before="360" w:after="0"/>
      <w:ind w:left="-567" w:right="-567"/>
      <w:jc w:val="left"/>
    </w:pPr>
  </w:style>
  <w:style w:type="paragraph" w:customStyle="1" w:styleId="Annexetitre">
    <w:name w:val="Annexe titre"/>
    <w:basedOn w:val="Normal"/>
    <w:next w:val="Normal"/>
    <w:rsid w:val="00803E1D"/>
    <w:pPr>
      <w:jc w:val="center"/>
    </w:pPr>
    <w:rPr>
      <w:b/>
      <w:u w:val="single"/>
    </w:rPr>
  </w:style>
  <w:style w:type="paragraph" w:customStyle="1" w:styleId="Typedudocument">
    <w:name w:val="Type du document"/>
    <w:basedOn w:val="Normal"/>
    <w:next w:val="Normal"/>
    <w:link w:val="TypedudocumentChar"/>
    <w:rsid w:val="00803E1D"/>
    <w:pPr>
      <w:spacing w:before="360" w:after="180"/>
      <w:jc w:val="center"/>
    </w:pPr>
    <w:rPr>
      <w:b/>
    </w:rPr>
  </w:style>
  <w:style w:type="paragraph" w:customStyle="1" w:styleId="Pagedecouverture">
    <w:name w:val="Page de couverture"/>
    <w:basedOn w:val="Normal"/>
    <w:next w:val="Normal"/>
    <w:rsid w:val="00803E1D"/>
    <w:pPr>
      <w:spacing w:before="0" w:after="0"/>
    </w:pPr>
  </w:style>
  <w:style w:type="paragraph" w:customStyle="1" w:styleId="Accompagnant">
    <w:name w:val="Accompagnant"/>
    <w:basedOn w:val="Normal"/>
    <w:next w:val="Typeacteprincipal"/>
    <w:rsid w:val="00803E1D"/>
    <w:pPr>
      <w:spacing w:before="180" w:after="240"/>
      <w:jc w:val="center"/>
    </w:pPr>
    <w:rPr>
      <w:b/>
    </w:rPr>
  </w:style>
  <w:style w:type="paragraph" w:customStyle="1" w:styleId="Typeacteprincipal">
    <w:name w:val="Type acte principal"/>
    <w:basedOn w:val="Normal"/>
    <w:next w:val="Objetacteprincipal"/>
    <w:rsid w:val="00803E1D"/>
    <w:pPr>
      <w:spacing w:before="0" w:after="240"/>
      <w:jc w:val="center"/>
    </w:pPr>
    <w:rPr>
      <w:b/>
    </w:rPr>
  </w:style>
  <w:style w:type="paragraph" w:customStyle="1" w:styleId="Objetacteprincipal">
    <w:name w:val="Objet acte principal"/>
    <w:basedOn w:val="Normal"/>
    <w:next w:val="Normal"/>
    <w:rsid w:val="00803E1D"/>
    <w:pPr>
      <w:spacing w:before="0" w:after="360"/>
      <w:jc w:val="center"/>
    </w:pPr>
    <w:rPr>
      <w:b/>
    </w:rPr>
  </w:style>
  <w:style w:type="table" w:styleId="TableGrid">
    <w:name w:val="Table Grid"/>
    <w:basedOn w:val="TableNormal"/>
    <w:uiPriority w:val="59"/>
    <w:rsid w:val="00803E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E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1D"/>
    <w:rPr>
      <w:rFonts w:ascii="Tahoma" w:hAnsi="Tahoma" w:cs="Tahoma"/>
      <w:sz w:val="16"/>
      <w:szCs w:val="16"/>
    </w:rPr>
  </w:style>
  <w:style w:type="paragraph" w:styleId="FootnoteText">
    <w:name w:val="footnote text"/>
    <w:basedOn w:val="Normal"/>
    <w:link w:val="FootnoteTextChar"/>
    <w:unhideWhenUsed/>
    <w:rsid w:val="001D10C0"/>
    <w:pPr>
      <w:spacing w:before="0" w:after="0"/>
    </w:pPr>
    <w:rPr>
      <w:sz w:val="20"/>
      <w:szCs w:val="20"/>
    </w:rPr>
  </w:style>
  <w:style w:type="character" w:customStyle="1" w:styleId="FootnoteTextChar">
    <w:name w:val="Footnote Text Char"/>
    <w:basedOn w:val="DefaultParagraphFont"/>
    <w:link w:val="FootnoteText"/>
    <w:rsid w:val="001D10C0"/>
    <w:rPr>
      <w:rFonts w:ascii="Times New Roman" w:hAnsi="Times New Roman" w:cs="Times New Roman"/>
      <w:sz w:val="20"/>
      <w:szCs w:val="20"/>
    </w:rPr>
  </w:style>
  <w:style w:type="character" w:styleId="FootnoteReference">
    <w:name w:val="footnote reference"/>
    <w:basedOn w:val="DefaultParagraphFont"/>
    <w:semiHidden/>
    <w:unhideWhenUsed/>
    <w:rsid w:val="001D10C0"/>
    <w:rPr>
      <w:vertAlign w:val="superscript"/>
    </w:rPr>
  </w:style>
  <w:style w:type="character" w:styleId="CommentReference">
    <w:name w:val="annotation reference"/>
    <w:basedOn w:val="DefaultParagraphFont"/>
    <w:uiPriority w:val="99"/>
    <w:semiHidden/>
    <w:unhideWhenUsed/>
    <w:rsid w:val="0018453B"/>
    <w:rPr>
      <w:sz w:val="16"/>
      <w:szCs w:val="16"/>
    </w:rPr>
  </w:style>
  <w:style w:type="paragraph" w:styleId="CommentText">
    <w:name w:val="annotation text"/>
    <w:basedOn w:val="Normal"/>
    <w:link w:val="CommentTextChar"/>
    <w:uiPriority w:val="99"/>
    <w:unhideWhenUsed/>
    <w:rsid w:val="0018453B"/>
    <w:rPr>
      <w:sz w:val="20"/>
      <w:szCs w:val="20"/>
    </w:rPr>
  </w:style>
  <w:style w:type="character" w:customStyle="1" w:styleId="CommentTextChar">
    <w:name w:val="Comment Text Char"/>
    <w:basedOn w:val="DefaultParagraphFont"/>
    <w:link w:val="CommentText"/>
    <w:uiPriority w:val="99"/>
    <w:rsid w:val="001845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53B"/>
    <w:rPr>
      <w:b/>
      <w:bCs/>
    </w:rPr>
  </w:style>
  <w:style w:type="character" w:customStyle="1" w:styleId="CommentSubjectChar">
    <w:name w:val="Comment Subject Char"/>
    <w:basedOn w:val="CommentTextChar"/>
    <w:link w:val="CommentSubject"/>
    <w:uiPriority w:val="99"/>
    <w:semiHidden/>
    <w:rsid w:val="0018453B"/>
    <w:rPr>
      <w:rFonts w:ascii="Times New Roman" w:hAnsi="Times New Roman" w:cs="Times New Roman"/>
      <w:b/>
      <w:bCs/>
      <w:sz w:val="20"/>
      <w:szCs w:val="20"/>
    </w:rPr>
  </w:style>
  <w:style w:type="paragraph" w:styleId="ListParagraph">
    <w:name w:val="List Paragraph"/>
    <w:basedOn w:val="Normal"/>
    <w:uiPriority w:val="34"/>
    <w:qFormat/>
    <w:rsid w:val="00BC15DE"/>
    <w:pPr>
      <w:ind w:left="720"/>
      <w:contextualSpacing/>
    </w:pPr>
  </w:style>
  <w:style w:type="paragraph" w:customStyle="1" w:styleId="Institutionquiagit">
    <w:name w:val="Institution qui agit"/>
    <w:basedOn w:val="Normal"/>
    <w:next w:val="Normal"/>
    <w:rsid w:val="00080DFE"/>
    <w:pPr>
      <w:keepNext/>
      <w:spacing w:before="600"/>
    </w:pPr>
  </w:style>
  <w:style w:type="character" w:customStyle="1" w:styleId="Heading1Char">
    <w:name w:val="Heading 1 Char"/>
    <w:basedOn w:val="DefaultParagraphFont"/>
    <w:link w:val="Heading1"/>
    <w:uiPriority w:val="9"/>
    <w:rsid w:val="00A73D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3D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3D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73D5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73D5E"/>
    <w:rPr>
      <w:color w:val="0000FF" w:themeColor="hyperlink"/>
      <w:u w:val="single"/>
    </w:rPr>
  </w:style>
  <w:style w:type="table" w:customStyle="1" w:styleId="TableauGrille1Clair-Accentuation11">
    <w:name w:val="Tableau Grille 1 Clair - Accentuation 11"/>
    <w:basedOn w:val="TableNormal"/>
    <w:uiPriority w:val="46"/>
    <w:rsid w:val="00A73D5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A73D5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A73D5E"/>
    <w:pPr>
      <w:spacing w:before="0" w:after="100" w:line="276" w:lineRule="auto"/>
      <w:jc w:val="left"/>
    </w:pPr>
    <w:rPr>
      <w:rFonts w:asciiTheme="minorHAnsi" w:hAnsiTheme="minorHAnsi" w:cstheme="minorBidi"/>
      <w:sz w:val="22"/>
    </w:rPr>
  </w:style>
  <w:style w:type="paragraph" w:styleId="TOC2">
    <w:name w:val="toc 2"/>
    <w:basedOn w:val="Normal"/>
    <w:next w:val="Normal"/>
    <w:autoRedefine/>
    <w:uiPriority w:val="39"/>
    <w:unhideWhenUsed/>
    <w:rsid w:val="00A73D5E"/>
    <w:pPr>
      <w:tabs>
        <w:tab w:val="right" w:leader="dot" w:pos="9350"/>
      </w:tabs>
      <w:spacing w:before="0" w:after="100" w:line="276" w:lineRule="auto"/>
      <w:ind w:left="220"/>
      <w:jc w:val="left"/>
    </w:pPr>
    <w:rPr>
      <w:rFonts w:asciiTheme="minorHAnsi" w:hAnsiTheme="minorHAnsi" w:cstheme="minorBidi"/>
      <w:sz w:val="22"/>
    </w:rPr>
  </w:style>
  <w:style w:type="paragraph" w:styleId="TOC3">
    <w:name w:val="toc 3"/>
    <w:basedOn w:val="Normal"/>
    <w:next w:val="Normal"/>
    <w:autoRedefine/>
    <w:uiPriority w:val="39"/>
    <w:unhideWhenUsed/>
    <w:rsid w:val="00A73D5E"/>
    <w:pPr>
      <w:tabs>
        <w:tab w:val="right" w:leader="dot" w:pos="9350"/>
      </w:tabs>
      <w:spacing w:before="0" w:after="100" w:line="276" w:lineRule="auto"/>
      <w:ind w:left="440"/>
      <w:jc w:val="left"/>
    </w:pPr>
    <w:rPr>
      <w:rFonts w:asciiTheme="minorHAnsi" w:hAnsiTheme="minorHAnsi" w:cstheme="minorBidi"/>
      <w:sz w:val="22"/>
    </w:rPr>
  </w:style>
  <w:style w:type="table" w:customStyle="1" w:styleId="Grilledetableauclaire1">
    <w:name w:val="Grille de tableau claire1"/>
    <w:basedOn w:val="TableNormal"/>
    <w:uiPriority w:val="40"/>
    <w:rsid w:val="00A73D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73D5E"/>
    <w:pPr>
      <w:spacing w:after="0" w:line="240" w:lineRule="auto"/>
    </w:pPr>
  </w:style>
  <w:style w:type="paragraph" w:styleId="TOC4">
    <w:name w:val="toc 4"/>
    <w:basedOn w:val="Normal"/>
    <w:next w:val="Normal"/>
    <w:autoRedefine/>
    <w:uiPriority w:val="39"/>
    <w:unhideWhenUsed/>
    <w:rsid w:val="00A73D5E"/>
    <w:pPr>
      <w:spacing w:before="0" w:after="100" w:line="276" w:lineRule="auto"/>
      <w:ind w:left="660"/>
      <w:jc w:val="left"/>
    </w:pPr>
    <w:rPr>
      <w:rFonts w:asciiTheme="minorHAnsi" w:hAnsiTheme="minorHAnsi" w:cstheme="minorBidi"/>
      <w:sz w:val="22"/>
    </w:rPr>
  </w:style>
  <w:style w:type="paragraph" w:styleId="PlainText">
    <w:name w:val="Plain Text"/>
    <w:basedOn w:val="Normal"/>
    <w:link w:val="PlainTextChar"/>
    <w:uiPriority w:val="99"/>
    <w:unhideWhenUsed/>
    <w:rsid w:val="00A73D5E"/>
    <w:pPr>
      <w:spacing w:before="0" w:after="0"/>
      <w:jc w:val="left"/>
    </w:pPr>
    <w:rPr>
      <w:rFonts w:ascii="Calibri" w:hAnsi="Calibri" w:cstheme="minorBidi"/>
      <w:sz w:val="22"/>
      <w:szCs w:val="21"/>
      <w:lang w:val="fr-FR"/>
    </w:rPr>
  </w:style>
  <w:style w:type="character" w:customStyle="1" w:styleId="PlainTextChar">
    <w:name w:val="Plain Text Char"/>
    <w:basedOn w:val="DefaultParagraphFont"/>
    <w:link w:val="PlainText"/>
    <w:uiPriority w:val="99"/>
    <w:rsid w:val="00A73D5E"/>
    <w:rPr>
      <w:rFonts w:ascii="Calibri" w:hAnsi="Calibri"/>
      <w:szCs w:val="21"/>
      <w:lang w:val="fr-FR"/>
    </w:rPr>
  </w:style>
  <w:style w:type="paragraph" w:customStyle="1" w:styleId="Considrant">
    <w:name w:val="Considérant"/>
    <w:basedOn w:val="Normal"/>
    <w:rsid w:val="009D6648"/>
    <w:pPr>
      <w:numPr>
        <w:numId w:val="12"/>
      </w:numPr>
    </w:pPr>
  </w:style>
  <w:style w:type="paragraph" w:customStyle="1" w:styleId="IntrtEEE">
    <w:name w:val="Intérêt EEE"/>
    <w:basedOn w:val="Normal"/>
    <w:next w:val="Normal"/>
    <w:rsid w:val="009D6648"/>
    <w:pPr>
      <w:spacing w:before="360" w:after="240"/>
      <w:jc w:val="center"/>
    </w:pPr>
  </w:style>
  <w:style w:type="character" w:customStyle="1" w:styleId="Marker">
    <w:name w:val="Marker"/>
    <w:basedOn w:val="DefaultParagraphFont"/>
    <w:rsid w:val="00107257"/>
    <w:rPr>
      <w:color w:val="0000FF"/>
      <w:shd w:val="clear" w:color="auto" w:fill="auto"/>
    </w:rPr>
  </w:style>
  <w:style w:type="paragraph" w:customStyle="1" w:styleId="FooterCoverPage">
    <w:name w:val="Footer Cover Page"/>
    <w:basedOn w:val="Normal"/>
    <w:link w:val="FooterCoverPageChar"/>
    <w:rsid w:val="00107257"/>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sid w:val="00107257"/>
    <w:rPr>
      <w:rFonts w:ascii="Times New Roman" w:hAnsi="Times New Roman" w:cs="Times New Roman"/>
      <w:b/>
      <w:sz w:val="24"/>
    </w:rPr>
  </w:style>
  <w:style w:type="character" w:customStyle="1" w:styleId="FooterCoverPageChar">
    <w:name w:val="Footer Cover Page Char"/>
    <w:basedOn w:val="TypedudocumentChar"/>
    <w:link w:val="FooterCoverPage"/>
    <w:rsid w:val="00107257"/>
    <w:rPr>
      <w:rFonts w:ascii="Times New Roman" w:hAnsi="Times New Roman" w:cs="Times New Roman"/>
      <w:b w:val="0"/>
      <w:sz w:val="24"/>
    </w:rPr>
  </w:style>
  <w:style w:type="paragraph" w:customStyle="1" w:styleId="FooterSensitivity">
    <w:name w:val="Footer Sensitivity"/>
    <w:basedOn w:val="Normal"/>
    <w:link w:val="FooterSensitivityChar"/>
    <w:rsid w:val="0010725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sid w:val="00107257"/>
    <w:rPr>
      <w:rFonts w:ascii="Times New Roman" w:hAnsi="Times New Roman" w:cs="Times New Roman"/>
      <w:b/>
      <w:sz w:val="32"/>
    </w:rPr>
  </w:style>
  <w:style w:type="paragraph" w:customStyle="1" w:styleId="HeaderCoverPage">
    <w:name w:val="Header Cover Page"/>
    <w:basedOn w:val="Normal"/>
    <w:link w:val="HeaderCoverPageChar"/>
    <w:rsid w:val="00107257"/>
    <w:pPr>
      <w:tabs>
        <w:tab w:val="center" w:pos="4535"/>
        <w:tab w:val="right" w:pos="9071"/>
      </w:tabs>
      <w:spacing w:before="0"/>
    </w:pPr>
  </w:style>
  <w:style w:type="character" w:customStyle="1" w:styleId="HeaderCoverPageChar">
    <w:name w:val="Header Cover Page Char"/>
    <w:basedOn w:val="TypedudocumentChar"/>
    <w:link w:val="HeaderCoverPage"/>
    <w:rsid w:val="00107257"/>
    <w:rPr>
      <w:rFonts w:ascii="Times New Roman" w:hAnsi="Times New Roman" w:cs="Times New Roman"/>
      <w:b w:val="0"/>
      <w:sz w:val="24"/>
    </w:rPr>
  </w:style>
  <w:style w:type="paragraph" w:customStyle="1" w:styleId="HeaderSensitivity">
    <w:name w:val="Header Sensitivity"/>
    <w:basedOn w:val="Normal"/>
    <w:link w:val="HeaderSensitivityChar"/>
    <w:rsid w:val="0010725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TypedudocumentChar"/>
    <w:link w:val="HeaderSensitivity"/>
    <w:rsid w:val="00107257"/>
    <w:rPr>
      <w:rFonts w:ascii="Times New Roman" w:hAnsi="Times New Roman" w:cs="Times New Roman"/>
      <w:b/>
      <w:sz w:val="32"/>
    </w:rPr>
  </w:style>
  <w:style w:type="paragraph" w:styleId="EndnoteText">
    <w:name w:val="endnote text"/>
    <w:basedOn w:val="Normal"/>
    <w:link w:val="EndnoteTextChar"/>
    <w:uiPriority w:val="99"/>
    <w:semiHidden/>
    <w:unhideWhenUsed/>
    <w:rsid w:val="00620238"/>
    <w:pPr>
      <w:spacing w:before="0" w:after="0"/>
    </w:pPr>
    <w:rPr>
      <w:sz w:val="20"/>
      <w:szCs w:val="20"/>
    </w:rPr>
  </w:style>
  <w:style w:type="character" w:customStyle="1" w:styleId="EndnoteTextChar">
    <w:name w:val="Endnote Text Char"/>
    <w:basedOn w:val="DefaultParagraphFont"/>
    <w:link w:val="EndnoteText"/>
    <w:uiPriority w:val="99"/>
    <w:semiHidden/>
    <w:rsid w:val="0062023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20238"/>
    <w:rPr>
      <w:vertAlign w:val="superscript"/>
    </w:rPr>
  </w:style>
  <w:style w:type="paragraph" w:customStyle="1" w:styleId="LegalNumPar">
    <w:name w:val="LegalNumPar"/>
    <w:basedOn w:val="Normal"/>
    <w:rsid w:val="00BC1A85"/>
    <w:pPr>
      <w:numPr>
        <w:numId w:val="16"/>
      </w:numPr>
      <w:spacing w:line="360" w:lineRule="auto"/>
    </w:pPr>
  </w:style>
  <w:style w:type="paragraph" w:customStyle="1" w:styleId="LegalNumPar2">
    <w:name w:val="LegalNumPar2"/>
    <w:basedOn w:val="Normal"/>
    <w:rsid w:val="00BC1A85"/>
    <w:pPr>
      <w:numPr>
        <w:ilvl w:val="1"/>
        <w:numId w:val="16"/>
      </w:numPr>
      <w:spacing w:line="360" w:lineRule="auto"/>
    </w:pPr>
  </w:style>
  <w:style w:type="paragraph" w:customStyle="1" w:styleId="LegalNumPar3">
    <w:name w:val="LegalNumPar3"/>
    <w:basedOn w:val="Normal"/>
    <w:rsid w:val="00BC1A85"/>
    <w:pPr>
      <w:numPr>
        <w:ilvl w:val="2"/>
        <w:numId w:val="16"/>
      </w:numPr>
      <w:spacing w:line="360" w:lineRule="auto"/>
    </w:pPr>
  </w:style>
  <w:style w:type="paragraph" w:styleId="NormalWeb">
    <w:name w:val="Normal (Web)"/>
    <w:basedOn w:val="Normal"/>
    <w:uiPriority w:val="99"/>
    <w:semiHidden/>
    <w:unhideWhenUsed/>
    <w:rsid w:val="002F5FDC"/>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sid w:val="002F5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3322">
      <w:bodyDiv w:val="1"/>
      <w:marLeft w:val="0"/>
      <w:marRight w:val="0"/>
      <w:marTop w:val="0"/>
      <w:marBottom w:val="0"/>
      <w:divBdr>
        <w:top w:val="none" w:sz="0" w:space="0" w:color="auto"/>
        <w:left w:val="none" w:sz="0" w:space="0" w:color="auto"/>
        <w:bottom w:val="none" w:sz="0" w:space="0" w:color="auto"/>
        <w:right w:val="none" w:sz="0" w:space="0" w:color="auto"/>
      </w:divBdr>
    </w:div>
    <w:div w:id="592207961">
      <w:bodyDiv w:val="1"/>
      <w:marLeft w:val="0"/>
      <w:marRight w:val="0"/>
      <w:marTop w:val="0"/>
      <w:marBottom w:val="0"/>
      <w:divBdr>
        <w:top w:val="none" w:sz="0" w:space="0" w:color="auto"/>
        <w:left w:val="none" w:sz="0" w:space="0" w:color="auto"/>
        <w:bottom w:val="none" w:sz="0" w:space="0" w:color="auto"/>
        <w:right w:val="none" w:sz="0" w:space="0" w:color="auto"/>
      </w:divBdr>
    </w:div>
    <w:div w:id="868763443">
      <w:bodyDiv w:val="1"/>
      <w:marLeft w:val="0"/>
      <w:marRight w:val="0"/>
      <w:marTop w:val="0"/>
      <w:marBottom w:val="0"/>
      <w:divBdr>
        <w:top w:val="none" w:sz="0" w:space="0" w:color="auto"/>
        <w:left w:val="none" w:sz="0" w:space="0" w:color="auto"/>
        <w:bottom w:val="none" w:sz="0" w:space="0" w:color="auto"/>
        <w:right w:val="none" w:sz="0" w:space="0" w:color="auto"/>
      </w:divBdr>
    </w:div>
    <w:div w:id="932665927">
      <w:bodyDiv w:val="1"/>
      <w:marLeft w:val="0"/>
      <w:marRight w:val="0"/>
      <w:marTop w:val="0"/>
      <w:marBottom w:val="0"/>
      <w:divBdr>
        <w:top w:val="none" w:sz="0" w:space="0" w:color="auto"/>
        <w:left w:val="none" w:sz="0" w:space="0" w:color="auto"/>
        <w:bottom w:val="none" w:sz="0" w:space="0" w:color="auto"/>
        <w:right w:val="none" w:sz="0" w:space="0" w:color="auto"/>
      </w:divBdr>
    </w:div>
    <w:div w:id="1068072131">
      <w:bodyDiv w:val="1"/>
      <w:marLeft w:val="0"/>
      <w:marRight w:val="0"/>
      <w:marTop w:val="0"/>
      <w:marBottom w:val="0"/>
      <w:divBdr>
        <w:top w:val="none" w:sz="0" w:space="0" w:color="auto"/>
        <w:left w:val="none" w:sz="0" w:space="0" w:color="auto"/>
        <w:bottom w:val="none" w:sz="0" w:space="0" w:color="auto"/>
        <w:right w:val="none" w:sz="0" w:space="0" w:color="auto"/>
      </w:divBdr>
    </w:div>
    <w:div w:id="1821725488">
      <w:bodyDiv w:val="1"/>
      <w:marLeft w:val="0"/>
      <w:marRight w:val="0"/>
      <w:marTop w:val="0"/>
      <w:marBottom w:val="0"/>
      <w:divBdr>
        <w:top w:val="none" w:sz="0" w:space="0" w:color="auto"/>
        <w:left w:val="none" w:sz="0" w:space="0" w:color="auto"/>
        <w:bottom w:val="none" w:sz="0" w:space="0" w:color="auto"/>
        <w:right w:val="none" w:sz="0" w:space="0" w:color="auto"/>
      </w:divBdr>
    </w:div>
    <w:div w:id="1831292847">
      <w:bodyDiv w:val="1"/>
      <w:marLeft w:val="0"/>
      <w:marRight w:val="0"/>
      <w:marTop w:val="0"/>
      <w:marBottom w:val="0"/>
      <w:divBdr>
        <w:top w:val="none" w:sz="0" w:space="0" w:color="auto"/>
        <w:left w:val="none" w:sz="0" w:space="0" w:color="auto"/>
        <w:bottom w:val="none" w:sz="0" w:space="0" w:color="auto"/>
        <w:right w:val="none" w:sz="0" w:space="0" w:color="auto"/>
      </w:divBdr>
    </w:div>
    <w:div w:id="21175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F826-BFEC-420B-883D-A2853393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A537D356.dotm</Template>
  <TotalTime>0</TotalTime>
  <Pages>9</Pages>
  <Words>7779</Words>
  <Characters>44345</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Ivana.POUSTKOVA@ec.europa.eu</dc:creator>
  <cp:lastModifiedBy>Saskia Sterk</cp:lastModifiedBy>
  <cp:revision>2</cp:revision>
  <cp:lastPrinted>2019-04-24T08:56:00Z</cp:lastPrinted>
  <dcterms:created xsi:type="dcterms:W3CDTF">2019-06-13T05:55:00Z</dcterms:created>
  <dcterms:modified xsi:type="dcterms:W3CDTF">2019-06-13T05:55:00Z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