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1EED2405"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C00D1B"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1"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1"/>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9F4A65" w14:paraId="7D1F03BE" w14:textId="77777777" w:rsidTr="007B6DCF">
        <w:tc>
          <w:tcPr>
            <w:tcW w:w="2419" w:type="dxa"/>
          </w:tcPr>
          <w:p w14:paraId="057BC95A" w14:textId="35D77C41" w:rsidR="009F4A65" w:rsidRDefault="009F4A65">
            <w:pPr>
              <w:rPr>
                <w:rFonts w:asciiTheme="minorHAnsi" w:hAnsiTheme="minorHAnsi"/>
                <w:sz w:val="24"/>
                <w:szCs w:val="24"/>
                <w:lang w:val="en-GB"/>
              </w:rPr>
            </w:pPr>
            <w:r>
              <w:rPr>
                <w:rFonts w:asciiTheme="minorHAnsi" w:hAnsiTheme="minorHAnsi"/>
                <w:sz w:val="24"/>
                <w:szCs w:val="24"/>
                <w:lang w:val="en-GB"/>
              </w:rPr>
              <w:t>Specialisation:</w:t>
            </w:r>
          </w:p>
        </w:tc>
        <w:tc>
          <w:tcPr>
            <w:tcW w:w="6653" w:type="dxa"/>
            <w:tcBorders>
              <w:top w:val="dashSmallGap" w:sz="4" w:space="0" w:color="auto"/>
              <w:left w:val="nil"/>
              <w:bottom w:val="dashSmallGap" w:sz="4" w:space="0" w:color="auto"/>
              <w:right w:val="nil"/>
            </w:tcBorders>
          </w:tcPr>
          <w:p w14:paraId="78E826A2" w14:textId="55D88C66" w:rsidR="009F4A65" w:rsidRDefault="009F4A65">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rsidRPr="00C00D1B"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87F2487" w:rsidR="007B6DCF" w:rsidRDefault="00C00D1B">
            <w:pPr>
              <w:rPr>
                <w:rFonts w:asciiTheme="minorHAnsi" w:hAnsiTheme="minorHAnsi"/>
                <w:sz w:val="24"/>
                <w:szCs w:val="24"/>
                <w:lang w:val="en-GB"/>
              </w:rPr>
            </w:pPr>
            <w:r>
              <w:rPr>
                <w:rFonts w:asciiTheme="minorHAnsi" w:hAnsiTheme="minorHAnsi"/>
                <w:sz w:val="24"/>
                <w:szCs w:val="24"/>
                <w:highlight w:val="yellow"/>
                <w:lang w:val="en-US"/>
              </w:rPr>
              <w:t xml:space="preserve">Crop and Weed ecology </w:t>
            </w:r>
            <w:r>
              <w:rPr>
                <w:rFonts w:asciiTheme="minorHAnsi" w:hAnsiTheme="minorHAnsi"/>
                <w:sz w:val="24"/>
                <w:szCs w:val="24"/>
                <w:highlight w:val="yellow"/>
                <w:lang w:val="en-US"/>
              </w:rPr>
              <w:t>or</w:t>
            </w:r>
            <w:bookmarkStart w:id="2" w:name="_GoBack"/>
            <w:bookmarkEnd w:id="2"/>
            <w:r>
              <w:rPr>
                <w:rFonts w:asciiTheme="minorHAnsi" w:hAnsiTheme="minorHAnsi"/>
                <w:sz w:val="24"/>
                <w:szCs w:val="24"/>
                <w:highlight w:val="yellow"/>
                <w:lang w:val="en-US"/>
              </w:rPr>
              <w:t xml:space="preserve"> Crop physiology</w:t>
            </w: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r w:rsidR="009A5B51" w14:paraId="7C705F0F" w14:textId="77777777" w:rsidTr="007B6DCF">
        <w:tc>
          <w:tcPr>
            <w:tcW w:w="2419" w:type="dxa"/>
          </w:tcPr>
          <w:p w14:paraId="4A59277F" w14:textId="57A55877" w:rsidR="009A5B51" w:rsidRDefault="009A5B51" w:rsidP="007B6DCF">
            <w:pPr>
              <w:rPr>
                <w:rFonts w:asciiTheme="minorHAnsi" w:hAnsiTheme="minorHAnsi"/>
                <w:sz w:val="24"/>
                <w:szCs w:val="24"/>
              </w:rPr>
            </w:pPr>
            <w:r>
              <w:rPr>
                <w:rFonts w:asciiTheme="minorHAnsi" w:hAnsiTheme="minorHAnsi"/>
                <w:sz w:val="24"/>
                <w:szCs w:val="24"/>
              </w:rPr>
              <w:t xml:space="preserve">Course </w:t>
            </w:r>
            <w:proofErr w:type="spellStart"/>
            <w:r>
              <w:rPr>
                <w:rFonts w:asciiTheme="minorHAnsi" w:hAnsiTheme="minorHAnsi"/>
                <w:sz w:val="24"/>
                <w:szCs w:val="24"/>
              </w:rPr>
              <w:t>size</w:t>
            </w:r>
            <w:proofErr w:type="spellEnd"/>
            <w:r>
              <w:rPr>
                <w:rFonts w:asciiTheme="minorHAnsi" w:hAnsiTheme="minorHAnsi"/>
                <w:sz w:val="24"/>
                <w:szCs w:val="24"/>
              </w:rPr>
              <w:t xml:space="preserve"> (EC):</w:t>
            </w:r>
          </w:p>
        </w:tc>
        <w:tc>
          <w:tcPr>
            <w:tcW w:w="6653" w:type="dxa"/>
            <w:tcBorders>
              <w:top w:val="dashSmallGap" w:sz="4" w:space="0" w:color="auto"/>
              <w:left w:val="nil"/>
              <w:bottom w:val="dashSmallGap" w:sz="4" w:space="0" w:color="auto"/>
              <w:right w:val="nil"/>
            </w:tcBorders>
          </w:tcPr>
          <w:p w14:paraId="594D101F" w14:textId="77777777" w:rsidR="009A5B51" w:rsidRDefault="009A5B51"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C00D1B"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2F3A23">
            <w:pPr>
              <w:pStyle w:val="ListParagraph"/>
              <w:numPr>
                <w:ilvl w:val="0"/>
                <w:numId w:val="6"/>
              </w:numPr>
              <w:rPr>
                <w:rFonts w:asciiTheme="minorHAnsi" w:hAnsiTheme="minorHAnsi"/>
                <w:sz w:val="24"/>
                <w:szCs w:val="24"/>
                <w:lang w:val="en-GB"/>
              </w:rPr>
            </w:pPr>
            <w:r w:rsidRPr="009F4A65">
              <w:rPr>
                <w:rFonts w:asciiTheme="minorHAnsi" w:hAnsiTheme="minorHAnsi"/>
                <w:sz w:val="24"/>
                <w:szCs w:val="24"/>
                <w:lang w:val="en-GB"/>
              </w:rPr>
              <w:t>Risk assessment needed?</w:t>
            </w:r>
            <w:r w:rsidRPr="009F4A65">
              <w:rPr>
                <w:rFonts w:asciiTheme="minorHAnsi" w:hAnsiTheme="minorHAnsi"/>
                <w:sz w:val="24"/>
                <w:szCs w:val="24"/>
                <w:lang w:val="en-GB"/>
              </w:rPr>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2F3A23">
            <w:pPr>
              <w:rPr>
                <w:rFonts w:asciiTheme="minorHAnsi" w:hAnsiTheme="minorHAnsi"/>
                <w:sz w:val="24"/>
                <w:szCs w:val="24"/>
                <w:lang w:val="en-GB"/>
              </w:rPr>
            </w:pPr>
            <w:r w:rsidRPr="009F4A65">
              <w:rPr>
                <w:rFonts w:asciiTheme="minorHAnsi" w:hAnsiTheme="minorHAnsi"/>
                <w:sz w:val="24"/>
                <w:szCs w:val="24"/>
                <w:lang w:val="en-GB"/>
              </w:rPr>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C00D1B"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C00D1B"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C00D1B"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9A5B51"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45B6D5A6" w14:textId="77777777" w:rsidR="00C00D1B" w:rsidRDefault="00C00D1B" w:rsidP="00C00D1B">
            <w:pPr>
              <w:rPr>
                <w:rFonts w:asciiTheme="minorHAnsi" w:hAnsiTheme="minorHAnsi"/>
                <w:i/>
                <w:sz w:val="24"/>
                <w:szCs w:val="24"/>
                <w:lang w:val="en-GB"/>
              </w:rPr>
            </w:pPr>
            <w:r>
              <w:rPr>
                <w:rFonts w:asciiTheme="minorHAnsi" w:hAnsiTheme="minorHAnsi"/>
                <w:i/>
                <w:sz w:val="24"/>
                <w:szCs w:val="24"/>
                <w:highlight w:val="yellow"/>
                <w:lang w:val="en-GB"/>
              </w:rPr>
              <w:t>For office work flex-desks are available. If the thesis implies there are specific software requirements this will be made available so make sure this is mentioned here. Printing facilities through CSA are made available.</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C00D1B"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00B701B5" w14:textId="77777777" w:rsidR="00C00D1B" w:rsidRDefault="00C00D1B" w:rsidP="00C00D1B">
            <w:pPr>
              <w:rPr>
                <w:rFonts w:asciiTheme="minorHAnsi" w:hAnsiTheme="minorHAnsi"/>
                <w:i/>
                <w:sz w:val="24"/>
                <w:szCs w:val="24"/>
                <w:highlight w:val="yellow"/>
                <w:lang w:val="en-US"/>
              </w:rPr>
            </w:pPr>
            <w:r>
              <w:rPr>
                <w:rFonts w:asciiTheme="minorHAnsi" w:hAnsiTheme="minorHAnsi"/>
                <w:i/>
                <w:sz w:val="24"/>
                <w:szCs w:val="24"/>
                <w:highlight w:val="yellow"/>
                <w:lang w:val="en-US"/>
              </w:rPr>
              <w:t>The final report will be written in English.</w:t>
            </w:r>
          </w:p>
          <w:p w14:paraId="07C93F5E" w14:textId="77777777" w:rsidR="00C00D1B" w:rsidRDefault="00C00D1B" w:rsidP="00C00D1B">
            <w:pPr>
              <w:rPr>
                <w:rFonts w:asciiTheme="minorHAnsi" w:hAnsiTheme="minorHAnsi"/>
                <w:sz w:val="24"/>
                <w:szCs w:val="24"/>
                <w:highlight w:val="yellow"/>
                <w:lang w:val="en-US"/>
              </w:rPr>
            </w:pPr>
            <w:r>
              <w:rPr>
                <w:rFonts w:asciiTheme="minorHAnsi" w:hAnsiTheme="minorHAnsi"/>
                <w:sz w:val="24"/>
                <w:szCs w:val="24"/>
                <w:highlight w:val="yellow"/>
                <w:lang w:val="en-US"/>
              </w:rPr>
              <w:t>There are additional arrangements on data management, these are defined in the attached data management plan (DMP). The quality of the data management is assessed as part of the grading.</w:t>
            </w:r>
          </w:p>
          <w:p w14:paraId="4E90BEFB" w14:textId="77777777" w:rsidR="00C00D1B" w:rsidRDefault="00C00D1B" w:rsidP="00C00D1B">
            <w:pPr>
              <w:rPr>
                <w:rFonts w:asciiTheme="minorHAnsi" w:hAnsiTheme="minorHAnsi"/>
                <w:sz w:val="24"/>
                <w:szCs w:val="24"/>
                <w:highlight w:val="yellow"/>
                <w:lang w:val="en-US"/>
              </w:rPr>
            </w:pPr>
            <w:r>
              <w:rPr>
                <w:rFonts w:asciiTheme="minorHAnsi" w:hAnsiTheme="minorHAnsi"/>
                <w:sz w:val="24"/>
                <w:szCs w:val="24"/>
                <w:highlight w:val="yellow"/>
                <w:lang w:val="en-US"/>
              </w:rPr>
              <w:t>The expected database with results from the experiment will be shared property of the student and CSA. The data will be stored and documented as agreed between student and supervisor based on the data management protocol of CSA.</w:t>
            </w:r>
          </w:p>
          <w:p w14:paraId="767938E1" w14:textId="21FB939E" w:rsidR="00A266F8" w:rsidRDefault="00C00D1B" w:rsidP="00C00D1B">
            <w:pPr>
              <w:rPr>
                <w:rFonts w:asciiTheme="minorHAnsi" w:hAnsiTheme="minorHAnsi"/>
                <w:sz w:val="24"/>
                <w:szCs w:val="24"/>
                <w:lang w:val="en-GB"/>
              </w:rPr>
            </w:pPr>
            <w:r>
              <w:rPr>
                <w:rFonts w:asciiTheme="minorHAnsi" w:hAnsiTheme="minorHAnsi"/>
                <w:sz w:val="24"/>
                <w:szCs w:val="24"/>
                <w:highlight w:val="yellow"/>
                <w:lang w:val="en-US"/>
              </w:rPr>
              <w:t>The right to publish on the basis of the data is also shared implying that the student has first publication right with thesis supervisor as co-author but that if the student does not engage in writing a journal paper on the basis of the thesis or data in the database someone from CSA may take the lead while the thesis student will retain co-authorship rights. Final authorship order will in that case depend on participation in the writing process.</w:t>
            </w: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C00D1B"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lastRenderedPageBreak/>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bookmarkStart w:id="8" w:name="_Hlk59455217"/>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w:t>
      </w:r>
      <w:bookmarkEnd w:id="8"/>
      <w:r>
        <w:rPr>
          <w:rFonts w:asciiTheme="minorHAnsi" w:hAnsiTheme="minorHAnsi"/>
          <w:sz w:val="24"/>
          <w:szCs w:val="24"/>
          <w:lang w:val="en-GB"/>
        </w:rPr>
        <w:t xml:space="preserve">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D526" w14:textId="77777777" w:rsidR="009A5B51" w:rsidRDefault="009A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5BAD5D1C"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9A5B51">
          <w:rPr>
            <w:rFonts w:asciiTheme="minorHAnsi" w:hAnsiTheme="minorHAnsi"/>
            <w:sz w:val="20"/>
            <w:szCs w:val="20"/>
          </w:rPr>
          <w:t>April</w:t>
        </w:r>
        <w:r>
          <w:rPr>
            <w:rFonts w:asciiTheme="minorHAnsi" w:hAnsiTheme="minorHAnsi"/>
            <w:sz w:val="20"/>
            <w:szCs w:val="20"/>
          </w:rPr>
          <w:t xml:space="preserve"> 202</w:t>
        </w:r>
        <w:r w:rsidR="009A5B51">
          <w:rPr>
            <w:rFonts w:asciiTheme="minorHAnsi" w:hAnsiTheme="minorHAnsi"/>
            <w:sz w:val="20"/>
            <w:szCs w:val="20"/>
          </w:rPr>
          <w:t>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77C2" w14:textId="77777777" w:rsidR="009A5B51" w:rsidRDefault="009A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8FD8E" w14:textId="77777777" w:rsidR="009A5B51" w:rsidRDefault="009A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9C8F" w14:textId="77777777" w:rsidR="009A5B51" w:rsidRDefault="009A5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2461" w14:textId="77777777" w:rsidR="009A5B51" w:rsidRDefault="009A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B0391"/>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851713"/>
    <w:rsid w:val="00957527"/>
    <w:rsid w:val="00965645"/>
    <w:rsid w:val="009A5B51"/>
    <w:rsid w:val="009F110D"/>
    <w:rsid w:val="009F4659"/>
    <w:rsid w:val="009F4A65"/>
    <w:rsid w:val="00A266F8"/>
    <w:rsid w:val="00A46287"/>
    <w:rsid w:val="00A46B2B"/>
    <w:rsid w:val="00AD1084"/>
    <w:rsid w:val="00B14039"/>
    <w:rsid w:val="00B2122F"/>
    <w:rsid w:val="00B3631C"/>
    <w:rsid w:val="00BB52F3"/>
    <w:rsid w:val="00C00D1B"/>
    <w:rsid w:val="00C12703"/>
    <w:rsid w:val="00C55C73"/>
    <w:rsid w:val="00D66D30"/>
    <w:rsid w:val="00D81798"/>
    <w:rsid w:val="00D916FF"/>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 w:id="1256405146">
      <w:bodyDiv w:val="1"/>
      <w:marLeft w:val="0"/>
      <w:marRight w:val="0"/>
      <w:marTop w:val="0"/>
      <w:marBottom w:val="0"/>
      <w:divBdr>
        <w:top w:val="none" w:sz="0" w:space="0" w:color="auto"/>
        <w:left w:val="none" w:sz="0" w:space="0" w:color="auto"/>
        <w:bottom w:val="none" w:sz="0" w:space="0" w:color="auto"/>
        <w:right w:val="none" w:sz="0" w:space="0" w:color="auto"/>
      </w:divBdr>
    </w:div>
    <w:div w:id="14105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5a26c40e-ceed-468e-8c17-b7b7bfce167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B834F-0280-4544-9574-7F27B8E2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1323</Words>
  <Characters>7279</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Wolffensperger, Nicole</cp:lastModifiedBy>
  <cp:revision>2</cp:revision>
  <dcterms:created xsi:type="dcterms:W3CDTF">2021-06-14T12:42:00Z</dcterms:created>
  <dcterms:modified xsi:type="dcterms:W3CDTF">2021-06-14T12:42:00Z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