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93" w:rsidRPr="00E252C5" w:rsidRDefault="0079384F" w:rsidP="00E252C5">
      <w:pPr>
        <w:spacing w:line="360" w:lineRule="auto"/>
        <w:contextualSpacing/>
        <w:jc w:val="center"/>
        <w:rPr>
          <w:rFonts w:ascii="Times New Roman" w:hAnsi="Times New Roman" w:cs="Times New Roman"/>
          <w:b/>
          <w:lang w:val="en-GB"/>
        </w:rPr>
      </w:pPr>
      <w:bookmarkStart w:id="0" w:name="_GoBack"/>
      <w:bookmarkEnd w:id="0"/>
      <w:r w:rsidRPr="00E252C5">
        <w:rPr>
          <w:rFonts w:ascii="Times New Roman" w:hAnsi="Times New Roman" w:cs="Times New Roman"/>
          <w:b/>
          <w:lang w:val="en-GB"/>
        </w:rPr>
        <w:t>Teaching and learning of interdisciplinary thinking in higher education in engineering</w:t>
      </w:r>
    </w:p>
    <w:p w:rsidR="0079384F" w:rsidRPr="00E252C5" w:rsidRDefault="0079384F" w:rsidP="00E252C5">
      <w:pPr>
        <w:spacing w:line="360" w:lineRule="auto"/>
        <w:contextualSpacing/>
        <w:jc w:val="center"/>
        <w:rPr>
          <w:rFonts w:ascii="Times New Roman" w:hAnsi="Times New Roman" w:cs="Times New Roman"/>
          <w:b/>
          <w:lang w:val="en-GB"/>
        </w:rPr>
      </w:pPr>
      <w:r w:rsidRPr="00E252C5">
        <w:rPr>
          <w:rFonts w:ascii="Times New Roman" w:hAnsi="Times New Roman" w:cs="Times New Roman"/>
          <w:b/>
          <w:lang w:val="en-GB"/>
        </w:rPr>
        <w:t>PhD thesis of E.J.H. Spelt – Wageningen University</w:t>
      </w:r>
    </w:p>
    <w:p w:rsidR="00E828AC" w:rsidRPr="00E252C5" w:rsidRDefault="00E828AC" w:rsidP="00E252C5">
      <w:pPr>
        <w:spacing w:line="360" w:lineRule="auto"/>
        <w:ind w:firstLine="567"/>
        <w:contextualSpacing/>
        <w:rPr>
          <w:rFonts w:ascii="Times New Roman" w:hAnsi="Times New Roman" w:cs="Times New Roman"/>
          <w:lang w:val="en-GB"/>
        </w:rPr>
      </w:pPr>
    </w:p>
    <w:p w:rsidR="00355B82" w:rsidRPr="00E252C5" w:rsidRDefault="00E252C5" w:rsidP="00BC156D">
      <w:pPr>
        <w:spacing w:line="360" w:lineRule="auto"/>
        <w:contextualSpacing/>
        <w:rPr>
          <w:rFonts w:ascii="Times New Roman" w:hAnsi="Times New Roman" w:cs="Times New Roman"/>
          <w:lang w:val="en-GB"/>
        </w:rPr>
      </w:pPr>
      <w:r w:rsidRPr="00E252C5">
        <w:rPr>
          <w:rFonts w:ascii="Times New Roman" w:hAnsi="Times New Roman" w:cs="Times New Roman"/>
          <w:lang w:val="en-GB"/>
        </w:rPr>
        <w:t xml:space="preserve">The present thesis research aim was to gain insight in the pedagogical content knowledge for </w:t>
      </w:r>
      <w:r w:rsidR="000933FA">
        <w:rPr>
          <w:rFonts w:ascii="Times New Roman" w:hAnsi="Times New Roman" w:cs="Times New Roman"/>
          <w:lang w:val="en-GB"/>
        </w:rPr>
        <w:t xml:space="preserve">interdisciplinary thinking </w:t>
      </w:r>
      <w:r w:rsidRPr="00E252C5">
        <w:rPr>
          <w:rFonts w:ascii="Times New Roman" w:hAnsi="Times New Roman" w:cs="Times New Roman"/>
          <w:lang w:val="en-GB"/>
        </w:rPr>
        <w:t xml:space="preserve">to enhance student learning across </w:t>
      </w:r>
      <w:r w:rsidR="000933FA">
        <w:rPr>
          <w:rFonts w:ascii="Times New Roman" w:hAnsi="Times New Roman" w:cs="Times New Roman"/>
          <w:lang w:val="en-GB"/>
        </w:rPr>
        <w:t>higher education in engineering.</w:t>
      </w:r>
      <w:r w:rsidRPr="00E252C5">
        <w:rPr>
          <w:rFonts w:ascii="Times New Roman" w:hAnsi="Times New Roman" w:cs="Times New Roman"/>
          <w:lang w:val="en-GB"/>
        </w:rPr>
        <w:t xml:space="preserve"> In accordance to </w:t>
      </w:r>
      <w:proofErr w:type="spellStart"/>
      <w:r w:rsidRPr="00E252C5">
        <w:rPr>
          <w:rFonts w:ascii="Times New Roman" w:hAnsi="Times New Roman" w:cs="Times New Roman"/>
          <w:lang w:val="en-GB"/>
        </w:rPr>
        <w:t>Boix</w:t>
      </w:r>
      <w:proofErr w:type="spellEnd"/>
      <w:r w:rsidRPr="00E252C5">
        <w:rPr>
          <w:rFonts w:ascii="Times New Roman" w:hAnsi="Times New Roman" w:cs="Times New Roman"/>
          <w:lang w:val="en-GB"/>
        </w:rPr>
        <w:t xml:space="preserve"> </w:t>
      </w:r>
      <w:proofErr w:type="spellStart"/>
      <w:r w:rsidRPr="00E252C5">
        <w:rPr>
          <w:rFonts w:ascii="Times New Roman" w:hAnsi="Times New Roman" w:cs="Times New Roman"/>
          <w:lang w:val="en-GB"/>
        </w:rPr>
        <w:t>Mansilla</w:t>
      </w:r>
      <w:proofErr w:type="spellEnd"/>
      <w:r w:rsidRPr="00E252C5">
        <w:rPr>
          <w:rFonts w:ascii="Times New Roman" w:hAnsi="Times New Roman" w:cs="Times New Roman"/>
          <w:lang w:val="en-GB"/>
        </w:rPr>
        <w:t xml:space="preserve"> </w:t>
      </w:r>
      <w:r w:rsidRPr="00E252C5">
        <w:rPr>
          <w:rFonts w:ascii="Times New Roman" w:hAnsi="Times New Roman" w:cs="Times New Roman"/>
          <w:lang w:val="en-GB"/>
        </w:rPr>
        <w:fldChar w:fldCharType="begin"/>
      </w:r>
      <w:r w:rsidR="00BC156D">
        <w:rPr>
          <w:rFonts w:ascii="Times New Roman" w:hAnsi="Times New Roman" w:cs="Times New Roman"/>
          <w:lang w:val="en-GB"/>
        </w:rPr>
        <w:instrText xml:space="preserve"> ADDIN EN.CITE &lt;EndNote&gt;&lt;Cite ExcludeAuth="1"&gt;&lt;Author&gt;Boix Mansilla&lt;/Author&gt;&lt;Year&gt;2010&lt;/Year&gt;&lt;RecNum&gt;230&lt;/RecNum&gt;&lt;DisplayText&gt;(2010)&lt;/DisplayText&gt;&lt;record&gt;&lt;rec-number&gt;230&lt;/rec-number&gt;&lt;foreign-keys&gt;&lt;key app="EN" db-id="s0pr2xa25pw2ztepzdapd9t9r0pt0waawz0z" timestamp="0"&gt;230&lt;/key&gt;&lt;/foreign-keys&gt;&lt;ref-type name="Book Section"&gt;5&lt;/ref-type&gt;&lt;contributors&gt;&lt;authors&gt;&lt;author&gt;Boix Mansilla, V.&lt;/author&gt;&lt;/authors&gt;&lt;secondary-authors&gt;&lt;author&gt;Frodeman, R.&lt;/author&gt;&lt;author&gt;Klein, J.T.&lt;/author&gt;&lt;author&gt;Mitcham, C.&lt;/author&gt;&lt;/secondary-authors&gt;&lt;/contributors&gt;&lt;titles&gt;&lt;title&gt;Learning to synthesize: The development of interdisciplinary understanding&lt;/title&gt;&lt;secondary-title&gt;The Oxford handbook of interdisciplinarity&lt;/secondary-title&gt;&lt;/titles&gt;&lt;pages&gt;288-306&lt;/pages&gt;&lt;section&gt;20&lt;/section&gt;&lt;dates&gt;&lt;year&gt;2010&lt;/year&gt;&lt;/dates&gt;&lt;pub-location&gt;New York&lt;/pub-location&gt;&lt;publisher&gt;Oxford University Press&lt;/publisher&gt;&lt;urls&gt;&lt;/urls&gt;&lt;/record&gt;&lt;/Cite&gt;&lt;/EndNote&gt;</w:instrText>
      </w:r>
      <w:r w:rsidRPr="00E252C5">
        <w:rPr>
          <w:rFonts w:ascii="Times New Roman" w:hAnsi="Times New Roman" w:cs="Times New Roman"/>
          <w:lang w:val="en-GB"/>
        </w:rPr>
        <w:fldChar w:fldCharType="separate"/>
      </w:r>
      <w:r w:rsidRPr="00E252C5">
        <w:rPr>
          <w:rFonts w:ascii="Times New Roman" w:hAnsi="Times New Roman" w:cs="Times New Roman"/>
          <w:noProof/>
          <w:lang w:val="en-GB"/>
        </w:rPr>
        <w:t>(2010)</w:t>
      </w:r>
      <w:r w:rsidRPr="00E252C5">
        <w:rPr>
          <w:rFonts w:ascii="Times New Roman" w:hAnsi="Times New Roman" w:cs="Times New Roman"/>
          <w:lang w:val="en-GB"/>
        </w:rPr>
        <w:fldChar w:fldCharType="end"/>
      </w:r>
      <w:r w:rsidRPr="00E252C5">
        <w:rPr>
          <w:rFonts w:ascii="Times New Roman" w:hAnsi="Times New Roman" w:cs="Times New Roman"/>
          <w:lang w:val="en-GB"/>
        </w:rPr>
        <w:t xml:space="preserve"> and Shulman </w:t>
      </w:r>
      <w:r w:rsidRPr="00E252C5">
        <w:rPr>
          <w:rFonts w:ascii="Times New Roman" w:hAnsi="Times New Roman" w:cs="Times New Roman"/>
          <w:lang w:val="en-GB"/>
        </w:rPr>
        <w:fldChar w:fldCharType="begin"/>
      </w:r>
      <w:r w:rsidR="00BC156D">
        <w:rPr>
          <w:rFonts w:ascii="Times New Roman" w:hAnsi="Times New Roman" w:cs="Times New Roman"/>
          <w:lang w:val="en-GB"/>
        </w:rPr>
        <w:instrText xml:space="preserve"> ADDIN EN.CITE &lt;EndNote&gt;&lt;Cite ExcludeAuth="1"&gt;&lt;Author&gt;Shulman&lt;/Author&gt;&lt;Year&gt;1987&lt;/Year&gt;&lt;RecNum&gt;543&lt;/RecNum&gt;&lt;DisplayText&gt;(1987)&lt;/DisplayText&gt;&lt;record&gt;&lt;rec-number&gt;543&lt;/rec-number&gt;&lt;foreign-keys&gt;&lt;key app="EN" db-id="s0pr2xa25pw2ztepzdapd9t9r0pt0waawz0z" timestamp="0"&gt;543&lt;/key&gt;&lt;/foreign-keys&gt;&lt;ref-type name="Journal Article"&gt;17&lt;/ref-type&gt;&lt;contributors&gt;&lt;authors&gt;&lt;author&gt;Shulman, L.S.&lt;/author&gt;&lt;/authors&gt;&lt;/contributors&gt;&lt;titles&gt;&lt;title&gt;Knowledge and teaching: Foundations of the new reform&lt;/title&gt;&lt;secondary-title&gt;Harvard Educational Review&lt;/secondary-title&gt;&lt;/titles&gt;&lt;pages&gt;1-21&lt;/pages&gt;&lt;volume&gt;57&lt;/volume&gt;&lt;number&gt;1&lt;/number&gt;&lt;dates&gt;&lt;year&gt;1987&lt;/year&gt;&lt;/dates&gt;&lt;urls&gt;&lt;/urls&gt;&lt;/record&gt;&lt;/Cite&gt;&lt;/EndNote&gt;</w:instrText>
      </w:r>
      <w:r w:rsidRPr="00E252C5">
        <w:rPr>
          <w:rFonts w:ascii="Times New Roman" w:hAnsi="Times New Roman" w:cs="Times New Roman"/>
          <w:lang w:val="en-GB"/>
        </w:rPr>
        <w:fldChar w:fldCharType="separate"/>
      </w:r>
      <w:r w:rsidRPr="00E252C5">
        <w:rPr>
          <w:rFonts w:ascii="Times New Roman" w:hAnsi="Times New Roman" w:cs="Times New Roman"/>
          <w:noProof/>
          <w:lang w:val="en-GB"/>
        </w:rPr>
        <w:t>(1987)</w:t>
      </w:r>
      <w:r w:rsidRPr="00E252C5">
        <w:rPr>
          <w:rFonts w:ascii="Times New Roman" w:hAnsi="Times New Roman" w:cs="Times New Roman"/>
          <w:lang w:val="en-GB"/>
        </w:rPr>
        <w:fldChar w:fldCharType="end"/>
      </w:r>
      <w:r w:rsidRPr="00E252C5">
        <w:rPr>
          <w:rFonts w:ascii="Times New Roman" w:hAnsi="Times New Roman" w:cs="Times New Roman"/>
          <w:lang w:val="en-GB"/>
        </w:rPr>
        <w:t xml:space="preserve">, pedagogical content knowledge was considered in the present research as an understanding of the unique teaching and learning demands to ensure quality student learning processes. To achieve the aim of gaining insight in these teaching and learning demands, the understanding of design criteria of </w:t>
      </w:r>
      <w:r w:rsidR="000933FA">
        <w:rPr>
          <w:rFonts w:ascii="Times New Roman" w:hAnsi="Times New Roman" w:cs="Times New Roman"/>
          <w:lang w:val="en-GB"/>
        </w:rPr>
        <w:t>interdisciplinary</w:t>
      </w:r>
      <w:r w:rsidRPr="00E252C5">
        <w:rPr>
          <w:rFonts w:ascii="Times New Roman" w:hAnsi="Times New Roman" w:cs="Times New Roman"/>
          <w:lang w:val="en-GB"/>
        </w:rPr>
        <w:t xml:space="preserve"> learning environments (</w:t>
      </w:r>
      <w:r w:rsidRPr="00E252C5">
        <w:rPr>
          <w:rFonts w:ascii="Times New Roman" w:hAnsi="Times New Roman" w:cs="Times New Roman"/>
          <w:i/>
          <w:lang w:val="en-GB"/>
        </w:rPr>
        <w:t>teaching-focus</w:t>
      </w:r>
      <w:r w:rsidRPr="00E252C5">
        <w:rPr>
          <w:rFonts w:ascii="Times New Roman" w:hAnsi="Times New Roman" w:cs="Times New Roman"/>
          <w:lang w:val="en-GB"/>
        </w:rPr>
        <w:t xml:space="preserve">) and the understanding of </w:t>
      </w:r>
      <w:r w:rsidR="000933FA">
        <w:rPr>
          <w:rFonts w:ascii="Times New Roman" w:hAnsi="Times New Roman" w:cs="Times New Roman"/>
          <w:lang w:val="en-GB"/>
        </w:rPr>
        <w:t>interdisciplinary</w:t>
      </w:r>
      <w:r w:rsidRPr="00E252C5">
        <w:rPr>
          <w:rFonts w:ascii="Times New Roman" w:hAnsi="Times New Roman" w:cs="Times New Roman"/>
          <w:lang w:val="en-GB"/>
        </w:rPr>
        <w:t xml:space="preserve"> learning process characteristics (</w:t>
      </w:r>
      <w:r w:rsidRPr="00E252C5">
        <w:rPr>
          <w:rFonts w:ascii="Times New Roman" w:hAnsi="Times New Roman" w:cs="Times New Roman"/>
          <w:i/>
          <w:lang w:val="en-GB"/>
        </w:rPr>
        <w:t>learning-focus</w:t>
      </w:r>
      <w:r w:rsidRPr="00E252C5">
        <w:rPr>
          <w:rFonts w:ascii="Times New Roman" w:hAnsi="Times New Roman" w:cs="Times New Roman"/>
          <w:lang w:val="en-GB"/>
        </w:rPr>
        <w:t xml:space="preserve">) were considered as necessary. </w:t>
      </w:r>
    </w:p>
    <w:p w:rsidR="00355B82" w:rsidRPr="00E252C5" w:rsidRDefault="00355B82" w:rsidP="00E252C5">
      <w:pPr>
        <w:spacing w:line="360" w:lineRule="auto"/>
        <w:ind w:firstLine="708"/>
        <w:contextualSpacing/>
        <w:rPr>
          <w:rFonts w:ascii="Times New Roman" w:hAnsi="Times New Roman" w:cs="Times New Roman"/>
          <w:lang w:val="en-GB"/>
        </w:rPr>
      </w:pPr>
      <w:r w:rsidRPr="00E252C5">
        <w:rPr>
          <w:rFonts w:ascii="Times New Roman" w:hAnsi="Times New Roman" w:cs="Times New Roman"/>
          <w:lang w:val="en-GB"/>
        </w:rPr>
        <w:t xml:space="preserve">Four studies were conducted to investigate the teaching and learning </w:t>
      </w:r>
      <w:r w:rsidR="00BC156D">
        <w:rPr>
          <w:rFonts w:ascii="Times New Roman" w:hAnsi="Times New Roman" w:cs="Times New Roman"/>
          <w:lang w:val="en-GB"/>
        </w:rPr>
        <w:t>demands</w:t>
      </w:r>
      <w:r w:rsidR="001F31D3" w:rsidRPr="00E252C5">
        <w:rPr>
          <w:rFonts w:ascii="Times New Roman" w:hAnsi="Times New Roman" w:cs="Times New Roman"/>
          <w:lang w:val="en-GB"/>
        </w:rPr>
        <w:t xml:space="preserve"> that need to be taken into account in order to teach engineering students interdisciplinary thinking with respect to complex problem solving</w:t>
      </w:r>
      <w:r w:rsidRPr="00E252C5">
        <w:rPr>
          <w:rFonts w:ascii="Times New Roman" w:hAnsi="Times New Roman" w:cs="Times New Roman"/>
          <w:lang w:val="en-GB"/>
        </w:rPr>
        <w:t xml:space="preserve">. The first </w:t>
      </w:r>
      <w:r w:rsidR="001F31D3" w:rsidRPr="00E252C5">
        <w:rPr>
          <w:rFonts w:ascii="Times New Roman" w:hAnsi="Times New Roman" w:cs="Times New Roman"/>
          <w:lang w:val="en-GB"/>
        </w:rPr>
        <w:t xml:space="preserve">and second </w:t>
      </w:r>
      <w:r w:rsidRPr="00E252C5">
        <w:rPr>
          <w:rFonts w:ascii="Times New Roman" w:hAnsi="Times New Roman" w:cs="Times New Roman"/>
          <w:lang w:val="en-GB"/>
        </w:rPr>
        <w:t xml:space="preserve">studies mainly focused on the </w:t>
      </w:r>
      <w:r w:rsidRPr="00E252C5">
        <w:rPr>
          <w:rFonts w:ascii="Times New Roman" w:hAnsi="Times New Roman" w:cs="Times New Roman"/>
          <w:i/>
          <w:lang w:val="en-GB"/>
        </w:rPr>
        <w:t>teaching</w:t>
      </w:r>
      <w:r w:rsidRPr="00E252C5">
        <w:rPr>
          <w:rFonts w:ascii="Times New Roman" w:hAnsi="Times New Roman" w:cs="Times New Roman"/>
          <w:lang w:val="en-GB"/>
        </w:rPr>
        <w:t xml:space="preserve"> using the </w:t>
      </w:r>
      <w:r w:rsidR="00BF1341" w:rsidRPr="00E252C5">
        <w:rPr>
          <w:rFonts w:ascii="Times New Roman" w:hAnsi="Times New Roman" w:cs="Times New Roman"/>
          <w:lang w:val="en-GB"/>
        </w:rPr>
        <w:t>constructive alignment</w:t>
      </w:r>
      <w:r w:rsidRPr="00E252C5">
        <w:rPr>
          <w:rFonts w:ascii="Times New Roman" w:hAnsi="Times New Roman" w:cs="Times New Roman"/>
          <w:lang w:val="en-GB"/>
        </w:rPr>
        <w:t xml:space="preserve"> theory of Biggs and Tang</w:t>
      </w:r>
      <w:r w:rsidR="00BC156D">
        <w:rPr>
          <w:rFonts w:ascii="Times New Roman" w:hAnsi="Times New Roman" w:cs="Times New Roman"/>
          <w:lang w:val="en-GB"/>
        </w:rPr>
        <w:t xml:space="preserve"> </w:t>
      </w:r>
      <w:r w:rsidR="00BC156D">
        <w:rPr>
          <w:rFonts w:ascii="Times New Roman" w:hAnsi="Times New Roman" w:cs="Times New Roman"/>
          <w:lang w:val="en-GB"/>
        </w:rPr>
        <w:fldChar w:fldCharType="begin"/>
      </w:r>
      <w:r w:rsidR="00BC156D">
        <w:rPr>
          <w:rFonts w:ascii="Times New Roman" w:hAnsi="Times New Roman" w:cs="Times New Roman"/>
          <w:lang w:val="en-GB"/>
        </w:rPr>
        <w:instrText xml:space="preserve"> ADDIN EN.CITE &lt;EndNote&gt;&lt;Cite ExcludeAuth="1"&gt;&lt;Author&gt;Biggs&lt;/Author&gt;&lt;Year&gt;2011&lt;/Year&gt;&lt;RecNum&gt;333&lt;/RecNum&gt;&lt;DisplayText&gt;(2011)&lt;/DisplayText&gt;&lt;record&gt;&lt;rec-number&gt;333&lt;/rec-number&gt;&lt;foreign-keys&gt;&lt;key app="EN" db-id="s0pr2xa25pw2ztepzdapd9t9r0pt0waawz0z" timestamp="0"&gt;333&lt;/key&gt;&lt;/foreign-keys&gt;&lt;ref-type name="Book"&gt;6&lt;/ref-type&gt;&lt;contributors&gt;&lt;authors&gt;&lt;author&gt;Biggs, J.B.&lt;/author&gt;&lt;author&gt;Tang, C.&lt;/author&gt;&lt;/authors&gt;&lt;/contributors&gt;&lt;titles&gt;&lt;title&gt;Teaching for quality learning at university&lt;/title&gt;&lt;/titles&gt;&lt;edition&gt;4th&lt;/edition&gt;&lt;dates&gt;&lt;year&gt;2011&lt;/year&gt;&lt;/dates&gt;&lt;pub-location&gt;Berkshire&lt;/pub-location&gt;&lt;publisher&gt;Open University Press&lt;/publisher&gt;&lt;urls&gt;&lt;/urls&gt;&lt;/record&gt;&lt;/Cite&gt;&lt;/EndNote&gt;</w:instrText>
      </w:r>
      <w:r w:rsidR="00BC156D">
        <w:rPr>
          <w:rFonts w:ascii="Times New Roman" w:hAnsi="Times New Roman" w:cs="Times New Roman"/>
          <w:lang w:val="en-GB"/>
        </w:rPr>
        <w:fldChar w:fldCharType="separate"/>
      </w:r>
      <w:r w:rsidR="00BC156D">
        <w:rPr>
          <w:rFonts w:ascii="Times New Roman" w:hAnsi="Times New Roman" w:cs="Times New Roman"/>
          <w:noProof/>
          <w:lang w:val="en-GB"/>
        </w:rPr>
        <w:t>(2011)</w:t>
      </w:r>
      <w:r w:rsidR="00BC156D">
        <w:rPr>
          <w:rFonts w:ascii="Times New Roman" w:hAnsi="Times New Roman" w:cs="Times New Roman"/>
          <w:lang w:val="en-GB"/>
        </w:rPr>
        <w:fldChar w:fldCharType="end"/>
      </w:r>
      <w:r w:rsidRPr="00E252C5">
        <w:rPr>
          <w:rFonts w:ascii="Times New Roman" w:hAnsi="Times New Roman" w:cs="Times New Roman"/>
          <w:lang w:val="en-GB"/>
        </w:rPr>
        <w:t xml:space="preserve">. The first study was a </w:t>
      </w:r>
      <w:r w:rsidR="00EF1FAF" w:rsidRPr="00E252C5">
        <w:rPr>
          <w:rFonts w:ascii="Times New Roman" w:hAnsi="Times New Roman" w:cs="Times New Roman"/>
          <w:lang w:val="en-GB"/>
        </w:rPr>
        <w:t xml:space="preserve">systematic </w:t>
      </w:r>
      <w:r w:rsidRPr="00E252C5">
        <w:rPr>
          <w:rFonts w:ascii="Times New Roman" w:hAnsi="Times New Roman" w:cs="Times New Roman"/>
          <w:lang w:val="en-GB"/>
        </w:rPr>
        <w:t xml:space="preserve">literature review </w:t>
      </w:r>
      <w:r w:rsidR="00EF1FAF" w:rsidRPr="00E252C5">
        <w:rPr>
          <w:rFonts w:ascii="Times New Roman" w:hAnsi="Times New Roman" w:cs="Times New Roman"/>
          <w:lang w:val="en-GB"/>
        </w:rPr>
        <w:t xml:space="preserve">study </w:t>
      </w:r>
      <w:r w:rsidR="00BC156D">
        <w:rPr>
          <w:rFonts w:ascii="Times New Roman" w:hAnsi="Times New Roman" w:cs="Times New Roman"/>
          <w:lang w:val="en-GB"/>
        </w:rPr>
        <w:t xml:space="preserve">that has </w:t>
      </w:r>
      <w:r w:rsidR="00EF1FAF" w:rsidRPr="00E252C5">
        <w:rPr>
          <w:rFonts w:ascii="Times New Roman" w:hAnsi="Times New Roman" w:cs="Times New Roman"/>
          <w:lang w:val="en-GB"/>
        </w:rPr>
        <w:t xml:space="preserve">identified </w:t>
      </w:r>
      <w:r w:rsidR="00BF1341" w:rsidRPr="00E252C5">
        <w:rPr>
          <w:rFonts w:ascii="Times New Roman" w:hAnsi="Times New Roman" w:cs="Times New Roman"/>
          <w:lang w:val="en-GB"/>
        </w:rPr>
        <w:t>five</w:t>
      </w:r>
      <w:r w:rsidR="00E017EB" w:rsidRPr="00E252C5">
        <w:rPr>
          <w:rFonts w:ascii="Times New Roman" w:hAnsi="Times New Roman" w:cs="Times New Roman"/>
          <w:lang w:val="en-GB"/>
        </w:rPr>
        <w:t xml:space="preserve"> necessary sub-skills of interdisciplinary thinking and </w:t>
      </w:r>
      <w:r w:rsidR="00BF1341" w:rsidRPr="00E252C5">
        <w:rPr>
          <w:rFonts w:ascii="Times New Roman" w:hAnsi="Times New Roman" w:cs="Times New Roman"/>
          <w:lang w:val="en-GB"/>
        </w:rPr>
        <w:t xml:space="preserve">26 </w:t>
      </w:r>
      <w:r w:rsidR="00E017EB" w:rsidRPr="00E252C5">
        <w:rPr>
          <w:rFonts w:ascii="Times New Roman" w:hAnsi="Times New Roman" w:cs="Times New Roman"/>
          <w:lang w:val="en-GB"/>
        </w:rPr>
        <w:t>typical conditions for enabling the development of interdisciplinary</w:t>
      </w:r>
      <w:r w:rsidR="00405F64">
        <w:rPr>
          <w:rFonts w:ascii="Times New Roman" w:hAnsi="Times New Roman" w:cs="Times New Roman"/>
          <w:lang w:val="en-GB"/>
        </w:rPr>
        <w:t xml:space="preserve"> thinking</w:t>
      </w:r>
      <w:r w:rsidR="00E017EB" w:rsidRPr="00E252C5">
        <w:rPr>
          <w:rFonts w:ascii="Times New Roman" w:hAnsi="Times New Roman" w:cs="Times New Roman"/>
          <w:lang w:val="en-GB"/>
        </w:rPr>
        <w:t xml:space="preserve">. The second study was a design-based research study in which the identified sub-skills and conditions were used to redesign an existing </w:t>
      </w:r>
      <w:r w:rsidR="00EF1FAF" w:rsidRPr="00E252C5">
        <w:rPr>
          <w:rFonts w:ascii="Times New Roman" w:hAnsi="Times New Roman" w:cs="Times New Roman"/>
          <w:lang w:val="en-GB"/>
        </w:rPr>
        <w:t xml:space="preserve">interdisciplinary </w:t>
      </w:r>
      <w:r w:rsidR="00E017EB" w:rsidRPr="00E252C5">
        <w:rPr>
          <w:rFonts w:ascii="Times New Roman" w:hAnsi="Times New Roman" w:cs="Times New Roman"/>
          <w:lang w:val="en-GB"/>
        </w:rPr>
        <w:t xml:space="preserve">course in food quality management. The design-focused evaluation </w:t>
      </w:r>
      <w:r w:rsidR="00CB0E2C" w:rsidRPr="00E252C5">
        <w:rPr>
          <w:rFonts w:ascii="Times New Roman" w:hAnsi="Times New Roman" w:cs="Times New Roman"/>
          <w:lang w:val="en-GB"/>
        </w:rPr>
        <w:t xml:space="preserve">showed that </w:t>
      </w:r>
      <w:r w:rsidR="00EF1FAF" w:rsidRPr="00E252C5">
        <w:rPr>
          <w:rFonts w:ascii="Times New Roman" w:hAnsi="Times New Roman" w:cs="Times New Roman"/>
          <w:lang w:val="en-GB"/>
        </w:rPr>
        <w:t>eight</w:t>
      </w:r>
      <w:r w:rsidR="00CB0E2C" w:rsidRPr="00E252C5">
        <w:rPr>
          <w:rFonts w:ascii="Times New Roman" w:hAnsi="Times New Roman" w:cs="Times New Roman"/>
          <w:lang w:val="en-GB"/>
        </w:rPr>
        <w:t xml:space="preserve"> </w:t>
      </w:r>
      <w:r w:rsidR="00BF1341" w:rsidRPr="00E252C5">
        <w:rPr>
          <w:rFonts w:ascii="Times New Roman" w:hAnsi="Times New Roman" w:cs="Times New Roman"/>
          <w:lang w:val="en-GB"/>
        </w:rPr>
        <w:t xml:space="preserve">design </w:t>
      </w:r>
      <w:r w:rsidR="00E017EB" w:rsidRPr="00E252C5">
        <w:rPr>
          <w:rFonts w:ascii="Times New Roman" w:hAnsi="Times New Roman" w:cs="Times New Roman"/>
          <w:lang w:val="en-GB"/>
        </w:rPr>
        <w:t>criteria</w:t>
      </w:r>
      <w:r w:rsidR="00CB0E2C" w:rsidRPr="00E252C5">
        <w:rPr>
          <w:rFonts w:ascii="Times New Roman" w:hAnsi="Times New Roman" w:cs="Times New Roman"/>
          <w:lang w:val="en-GB"/>
        </w:rPr>
        <w:t xml:space="preserve"> need to be taken into account to </w:t>
      </w:r>
      <w:r w:rsidR="00671186" w:rsidRPr="00E252C5">
        <w:rPr>
          <w:rFonts w:ascii="Times New Roman" w:hAnsi="Times New Roman" w:cs="Times New Roman"/>
          <w:lang w:val="en-GB"/>
        </w:rPr>
        <w:t>improve t</w:t>
      </w:r>
      <w:r w:rsidR="00CB0E2C" w:rsidRPr="00E252C5">
        <w:rPr>
          <w:rFonts w:ascii="Times New Roman" w:hAnsi="Times New Roman" w:cs="Times New Roman"/>
          <w:lang w:val="en-GB"/>
        </w:rPr>
        <w:t xml:space="preserve">he quality of </w:t>
      </w:r>
      <w:r w:rsidR="00E017EB" w:rsidRPr="00E252C5">
        <w:rPr>
          <w:rFonts w:ascii="Times New Roman" w:hAnsi="Times New Roman" w:cs="Times New Roman"/>
          <w:lang w:val="en-GB"/>
        </w:rPr>
        <w:t>interdisciplinary learning environments</w:t>
      </w:r>
      <w:r w:rsidR="00CB0E2C" w:rsidRPr="00E252C5">
        <w:rPr>
          <w:rFonts w:ascii="Times New Roman" w:hAnsi="Times New Roman" w:cs="Times New Roman"/>
          <w:lang w:val="en-GB"/>
        </w:rPr>
        <w:t xml:space="preserve">. </w:t>
      </w:r>
    </w:p>
    <w:p w:rsidR="00355B82" w:rsidRPr="00E252C5" w:rsidRDefault="00E017EB" w:rsidP="00E252C5">
      <w:pPr>
        <w:spacing w:line="360" w:lineRule="auto"/>
        <w:ind w:firstLine="708"/>
        <w:contextualSpacing/>
        <w:rPr>
          <w:rFonts w:ascii="Times New Roman" w:hAnsi="Times New Roman" w:cs="Times New Roman"/>
          <w:lang w:val="en-GB"/>
        </w:rPr>
      </w:pPr>
      <w:r w:rsidRPr="00E252C5">
        <w:rPr>
          <w:rFonts w:ascii="Times New Roman" w:hAnsi="Times New Roman" w:cs="Times New Roman"/>
          <w:lang w:val="en-GB"/>
        </w:rPr>
        <w:t xml:space="preserve">The </w:t>
      </w:r>
      <w:r w:rsidR="001F31D3" w:rsidRPr="00E252C5">
        <w:rPr>
          <w:rFonts w:ascii="Times New Roman" w:hAnsi="Times New Roman" w:cs="Times New Roman"/>
          <w:lang w:val="en-GB"/>
        </w:rPr>
        <w:t>third and fourth s</w:t>
      </w:r>
      <w:r w:rsidR="00355B82" w:rsidRPr="00E252C5">
        <w:rPr>
          <w:rFonts w:ascii="Times New Roman" w:hAnsi="Times New Roman" w:cs="Times New Roman"/>
          <w:lang w:val="en-GB"/>
        </w:rPr>
        <w:t xml:space="preserve">tudies mainly focused on </w:t>
      </w:r>
      <w:r w:rsidR="00405F64">
        <w:rPr>
          <w:rFonts w:ascii="Times New Roman" w:hAnsi="Times New Roman" w:cs="Times New Roman"/>
          <w:lang w:val="en-GB"/>
        </w:rPr>
        <w:t>student</w:t>
      </w:r>
      <w:r w:rsidR="00355B82" w:rsidRPr="00E252C5">
        <w:rPr>
          <w:rFonts w:ascii="Times New Roman" w:hAnsi="Times New Roman" w:cs="Times New Roman"/>
          <w:lang w:val="en-GB"/>
        </w:rPr>
        <w:t xml:space="preserve"> </w:t>
      </w:r>
      <w:r w:rsidR="00355B82" w:rsidRPr="00E252C5">
        <w:rPr>
          <w:rFonts w:ascii="Times New Roman" w:hAnsi="Times New Roman" w:cs="Times New Roman"/>
          <w:i/>
          <w:lang w:val="en-GB"/>
        </w:rPr>
        <w:t>learning</w:t>
      </w:r>
      <w:r w:rsidR="00355B82" w:rsidRPr="00E252C5">
        <w:rPr>
          <w:rFonts w:ascii="Times New Roman" w:hAnsi="Times New Roman" w:cs="Times New Roman"/>
          <w:lang w:val="en-GB"/>
        </w:rPr>
        <w:t xml:space="preserve"> </w:t>
      </w:r>
      <w:r w:rsidR="00405F64">
        <w:rPr>
          <w:rFonts w:ascii="Times New Roman" w:hAnsi="Times New Roman" w:cs="Times New Roman"/>
          <w:lang w:val="en-GB"/>
        </w:rPr>
        <w:t>of the redesigned course on food quality management,</w:t>
      </w:r>
      <w:r w:rsidR="00405F64" w:rsidRPr="00E252C5">
        <w:rPr>
          <w:rFonts w:ascii="Times New Roman" w:hAnsi="Times New Roman" w:cs="Times New Roman"/>
          <w:lang w:val="en-GB"/>
        </w:rPr>
        <w:t xml:space="preserve"> </w:t>
      </w:r>
      <w:r w:rsidR="00355B82" w:rsidRPr="00E252C5">
        <w:rPr>
          <w:rFonts w:ascii="Times New Roman" w:hAnsi="Times New Roman" w:cs="Times New Roman"/>
          <w:lang w:val="en-GB"/>
        </w:rPr>
        <w:t xml:space="preserve">using the learning theory of </w:t>
      </w:r>
      <w:proofErr w:type="spellStart"/>
      <w:r w:rsidR="00355B82" w:rsidRPr="00E252C5">
        <w:rPr>
          <w:rFonts w:ascii="Times New Roman" w:hAnsi="Times New Roman" w:cs="Times New Roman"/>
          <w:lang w:val="en-GB"/>
        </w:rPr>
        <w:t>Illeris</w:t>
      </w:r>
      <w:proofErr w:type="spellEnd"/>
      <w:r w:rsidR="00BC156D">
        <w:rPr>
          <w:rFonts w:ascii="Times New Roman" w:hAnsi="Times New Roman" w:cs="Times New Roman"/>
          <w:lang w:val="en-GB"/>
        </w:rPr>
        <w:t xml:space="preserve"> </w:t>
      </w:r>
      <w:r w:rsidR="00BC156D">
        <w:rPr>
          <w:rFonts w:ascii="Times New Roman" w:hAnsi="Times New Roman" w:cs="Times New Roman"/>
          <w:lang w:val="en-GB"/>
        </w:rPr>
        <w:fldChar w:fldCharType="begin"/>
      </w:r>
      <w:r w:rsidR="00BC156D">
        <w:rPr>
          <w:rFonts w:ascii="Times New Roman" w:hAnsi="Times New Roman" w:cs="Times New Roman"/>
          <w:lang w:val="en-GB"/>
        </w:rPr>
        <w:instrText xml:space="preserve"> ADDIN EN.CITE &lt;EndNote&gt;&lt;Cite ExcludeAuth="1"&gt;&lt;Author&gt;Illeris&lt;/Author&gt;&lt;Year&gt;2003&lt;/Year&gt;&lt;RecNum&gt;527&lt;/RecNum&gt;&lt;DisplayText&gt;(2003)&lt;/DisplayText&gt;&lt;record&gt;&lt;rec-number&gt;527&lt;/rec-number&gt;&lt;foreign-keys&gt;&lt;key app="EN" db-id="s0pr2xa25pw2ztepzdapd9t9r0pt0waawz0z" timestamp="0"&gt;527&lt;/key&gt;&lt;/foreign-keys&gt;&lt;ref-type name="Journal Article"&gt;17&lt;/ref-type&gt;&lt;contributors&gt;&lt;authors&gt;&lt;author&gt;Illeris, K.&lt;/author&gt;&lt;/authors&gt;&lt;/contributors&gt;&lt;titles&gt;&lt;title&gt;Towards a contemporary and comprehensive theory of learning&lt;/title&gt;&lt;secondary-title&gt;International Journal of Lifelong education&lt;/secondary-title&gt;&lt;/titles&gt;&lt;pages&gt;396-406&lt;/pages&gt;&lt;volume&gt;22&lt;/volume&gt;&lt;number&gt;4&lt;/number&gt;&lt;dates&gt;&lt;year&gt;2003&lt;/year&gt;&lt;/dates&gt;&lt;urls&gt;&lt;/urls&gt;&lt;/record&gt;&lt;/Cite&gt;&lt;/EndNote&gt;</w:instrText>
      </w:r>
      <w:r w:rsidR="00BC156D">
        <w:rPr>
          <w:rFonts w:ascii="Times New Roman" w:hAnsi="Times New Roman" w:cs="Times New Roman"/>
          <w:lang w:val="en-GB"/>
        </w:rPr>
        <w:fldChar w:fldCharType="separate"/>
      </w:r>
      <w:r w:rsidR="00BC156D">
        <w:rPr>
          <w:rFonts w:ascii="Times New Roman" w:hAnsi="Times New Roman" w:cs="Times New Roman"/>
          <w:noProof/>
          <w:lang w:val="en-GB"/>
        </w:rPr>
        <w:t>(2003)</w:t>
      </w:r>
      <w:r w:rsidR="00BC156D">
        <w:rPr>
          <w:rFonts w:ascii="Times New Roman" w:hAnsi="Times New Roman" w:cs="Times New Roman"/>
          <w:lang w:val="en-GB"/>
        </w:rPr>
        <w:fldChar w:fldCharType="end"/>
      </w:r>
      <w:r w:rsidR="00355B82" w:rsidRPr="00E252C5">
        <w:rPr>
          <w:rFonts w:ascii="Times New Roman" w:hAnsi="Times New Roman" w:cs="Times New Roman"/>
          <w:lang w:val="en-GB"/>
        </w:rPr>
        <w:t xml:space="preserve">. </w:t>
      </w:r>
      <w:r w:rsidRPr="00E252C5">
        <w:rPr>
          <w:rFonts w:ascii="Times New Roman" w:hAnsi="Times New Roman" w:cs="Times New Roman"/>
          <w:lang w:val="en-GB"/>
        </w:rPr>
        <w:t xml:space="preserve">The third study </w:t>
      </w:r>
      <w:r w:rsidR="002B0F4C" w:rsidRPr="00E252C5">
        <w:rPr>
          <w:rFonts w:ascii="Times New Roman" w:hAnsi="Times New Roman" w:cs="Times New Roman"/>
          <w:lang w:val="en-GB"/>
        </w:rPr>
        <w:t xml:space="preserve">analytically characterized </w:t>
      </w:r>
      <w:r w:rsidR="008872C1" w:rsidRPr="00E252C5">
        <w:rPr>
          <w:rFonts w:ascii="Times New Roman" w:hAnsi="Times New Roman" w:cs="Times New Roman"/>
          <w:lang w:val="en-GB"/>
        </w:rPr>
        <w:t xml:space="preserve">student learning </w:t>
      </w:r>
      <w:r w:rsidR="00405F64">
        <w:rPr>
          <w:rFonts w:ascii="Times New Roman" w:hAnsi="Times New Roman" w:cs="Times New Roman"/>
          <w:lang w:val="en-GB"/>
        </w:rPr>
        <w:t xml:space="preserve">experiences and </w:t>
      </w:r>
      <w:r w:rsidR="000C0C5E">
        <w:rPr>
          <w:rFonts w:ascii="Times New Roman" w:hAnsi="Times New Roman" w:cs="Times New Roman"/>
          <w:lang w:val="en-GB"/>
        </w:rPr>
        <w:t xml:space="preserve">showed that </w:t>
      </w:r>
      <w:r w:rsidR="008872C1" w:rsidRPr="00E252C5">
        <w:rPr>
          <w:rFonts w:ascii="Times New Roman" w:hAnsi="Times New Roman" w:cs="Times New Roman"/>
          <w:lang w:val="en-GB"/>
        </w:rPr>
        <w:t>the</w:t>
      </w:r>
      <w:r w:rsidR="002B0F4C" w:rsidRPr="00E252C5">
        <w:rPr>
          <w:rFonts w:ascii="Times New Roman" w:hAnsi="Times New Roman" w:cs="Times New Roman"/>
          <w:lang w:val="en-GB"/>
        </w:rPr>
        <w:t xml:space="preserve">se </w:t>
      </w:r>
      <w:r w:rsidR="00405F64">
        <w:rPr>
          <w:rFonts w:ascii="Times New Roman" w:hAnsi="Times New Roman" w:cs="Times New Roman"/>
          <w:lang w:val="en-GB"/>
        </w:rPr>
        <w:t>experiences</w:t>
      </w:r>
      <w:r w:rsidR="002B0F4C" w:rsidRPr="00E252C5">
        <w:rPr>
          <w:rFonts w:ascii="Times New Roman" w:hAnsi="Times New Roman" w:cs="Times New Roman"/>
          <w:lang w:val="en-GB"/>
        </w:rPr>
        <w:t xml:space="preserve"> </w:t>
      </w:r>
      <w:r w:rsidR="008872C1" w:rsidRPr="00E252C5">
        <w:rPr>
          <w:rFonts w:ascii="Times New Roman" w:hAnsi="Times New Roman" w:cs="Times New Roman"/>
          <w:lang w:val="en-GB"/>
        </w:rPr>
        <w:t>can be divided into the content, incentive, and interaction dimensions</w:t>
      </w:r>
      <w:r w:rsidR="002B0F4C" w:rsidRPr="00E252C5">
        <w:rPr>
          <w:rFonts w:ascii="Times New Roman" w:hAnsi="Times New Roman" w:cs="Times New Roman"/>
          <w:lang w:val="en-GB"/>
        </w:rPr>
        <w:t>,</w:t>
      </w:r>
      <w:r w:rsidR="00D97519" w:rsidRPr="00E252C5">
        <w:rPr>
          <w:rFonts w:ascii="Times New Roman" w:hAnsi="Times New Roman" w:cs="Times New Roman"/>
          <w:lang w:val="en-GB"/>
        </w:rPr>
        <w:t xml:space="preserve"> and that for each dimension key experiences could be identified</w:t>
      </w:r>
      <w:r w:rsidR="008872C1" w:rsidRPr="00E252C5">
        <w:rPr>
          <w:rFonts w:ascii="Times New Roman" w:hAnsi="Times New Roman" w:cs="Times New Roman"/>
          <w:lang w:val="en-GB"/>
        </w:rPr>
        <w:t xml:space="preserve">. The fourth study </w:t>
      </w:r>
      <w:r w:rsidR="002B0F4C" w:rsidRPr="00E252C5">
        <w:rPr>
          <w:rFonts w:ascii="Times New Roman" w:hAnsi="Times New Roman" w:cs="Times New Roman"/>
          <w:lang w:val="en-GB"/>
        </w:rPr>
        <w:t xml:space="preserve">analysed student learning </w:t>
      </w:r>
      <w:r w:rsidR="00FB27DE" w:rsidRPr="00E252C5">
        <w:rPr>
          <w:rFonts w:ascii="Times New Roman" w:hAnsi="Times New Roman" w:cs="Times New Roman"/>
          <w:lang w:val="en-GB"/>
        </w:rPr>
        <w:t>in terms of learning challenges, strategies</w:t>
      </w:r>
      <w:r w:rsidR="00671186" w:rsidRPr="00E252C5">
        <w:rPr>
          <w:rFonts w:ascii="Times New Roman" w:hAnsi="Times New Roman" w:cs="Times New Roman"/>
          <w:lang w:val="en-GB"/>
        </w:rPr>
        <w:t>,</w:t>
      </w:r>
      <w:r w:rsidR="00FB27DE" w:rsidRPr="00E252C5">
        <w:rPr>
          <w:rFonts w:ascii="Times New Roman" w:hAnsi="Times New Roman" w:cs="Times New Roman"/>
          <w:lang w:val="en-GB"/>
        </w:rPr>
        <w:t xml:space="preserve"> and outcomes. </w:t>
      </w:r>
      <w:r w:rsidR="007415D2" w:rsidRPr="00E252C5">
        <w:rPr>
          <w:rFonts w:ascii="Times New Roman" w:hAnsi="Times New Roman" w:cs="Times New Roman"/>
          <w:lang w:val="en-GB"/>
        </w:rPr>
        <w:t>With respect to the challenges, the results showed that student</w:t>
      </w:r>
      <w:r w:rsidR="00D97519" w:rsidRPr="00E252C5">
        <w:rPr>
          <w:rFonts w:ascii="Times New Roman" w:hAnsi="Times New Roman" w:cs="Times New Roman"/>
          <w:lang w:val="en-GB"/>
        </w:rPr>
        <w:t>s</w:t>
      </w:r>
      <w:r w:rsidR="007415D2" w:rsidRPr="00E252C5">
        <w:rPr>
          <w:rFonts w:ascii="Times New Roman" w:hAnsi="Times New Roman" w:cs="Times New Roman"/>
          <w:lang w:val="en-GB"/>
        </w:rPr>
        <w:t xml:space="preserve"> t</w:t>
      </w:r>
      <w:r w:rsidR="00D97519" w:rsidRPr="00E252C5">
        <w:rPr>
          <w:rFonts w:ascii="Times New Roman" w:hAnsi="Times New Roman" w:cs="Times New Roman"/>
          <w:lang w:val="en-GB"/>
        </w:rPr>
        <w:t>end to</w:t>
      </w:r>
      <w:r w:rsidR="007415D2" w:rsidRPr="00E252C5">
        <w:rPr>
          <w:rFonts w:ascii="Times New Roman" w:hAnsi="Times New Roman" w:cs="Times New Roman"/>
          <w:lang w:val="en-GB"/>
        </w:rPr>
        <w:t xml:space="preserve"> report more on the content-related and interaction-related challenges than on the incentive-related challenges. </w:t>
      </w:r>
      <w:r w:rsidR="00405F64">
        <w:rPr>
          <w:rFonts w:ascii="Times New Roman" w:hAnsi="Times New Roman" w:cs="Times New Roman"/>
          <w:lang w:val="en-GB"/>
        </w:rPr>
        <w:t xml:space="preserve">Both </w:t>
      </w:r>
      <w:r w:rsidR="00051EA2">
        <w:rPr>
          <w:rFonts w:ascii="Times New Roman" w:hAnsi="Times New Roman" w:cs="Times New Roman"/>
          <w:lang w:val="en-GB"/>
        </w:rPr>
        <w:t xml:space="preserve">conducted analyses </w:t>
      </w:r>
      <w:r w:rsidR="00405F64">
        <w:rPr>
          <w:rFonts w:ascii="Times New Roman" w:hAnsi="Times New Roman" w:cs="Times New Roman"/>
          <w:lang w:val="en-GB"/>
        </w:rPr>
        <w:t xml:space="preserve">provided insights on learning process characteristics that need to be taken into account to improve the quality of student </w:t>
      </w:r>
      <w:r w:rsidR="0070733F">
        <w:rPr>
          <w:rFonts w:ascii="Times New Roman" w:hAnsi="Times New Roman" w:cs="Times New Roman"/>
          <w:lang w:val="en-GB"/>
        </w:rPr>
        <w:t xml:space="preserve">interdisciplinary </w:t>
      </w:r>
      <w:r w:rsidR="00405F64">
        <w:rPr>
          <w:rFonts w:ascii="Times New Roman" w:hAnsi="Times New Roman" w:cs="Times New Roman"/>
          <w:lang w:val="en-GB"/>
        </w:rPr>
        <w:t xml:space="preserve">learning. </w:t>
      </w:r>
    </w:p>
    <w:p w:rsidR="00BC156D" w:rsidRPr="00BC156D" w:rsidRDefault="007415D2" w:rsidP="00BC156D">
      <w:pPr>
        <w:spacing w:line="360" w:lineRule="auto"/>
        <w:ind w:firstLine="708"/>
        <w:contextualSpacing/>
        <w:rPr>
          <w:rFonts w:ascii="Times New Roman" w:hAnsi="Times New Roman" w:cs="Times New Roman"/>
          <w:lang w:val="en-GB"/>
        </w:rPr>
        <w:sectPr w:rsidR="00BC156D" w:rsidRPr="00BC156D" w:rsidSect="00F337E0">
          <w:headerReference w:type="even" r:id="rId8"/>
          <w:pgSz w:w="11906" w:h="16838"/>
          <w:pgMar w:top="1417" w:right="1417" w:bottom="1417" w:left="1417" w:header="708" w:footer="708" w:gutter="0"/>
          <w:cols w:space="708"/>
          <w:docGrid w:linePitch="360"/>
        </w:sectPr>
      </w:pPr>
      <w:r w:rsidRPr="00BC156D">
        <w:rPr>
          <w:rFonts w:ascii="Times New Roman" w:hAnsi="Times New Roman" w:cs="Times New Roman"/>
          <w:lang w:val="en-GB"/>
        </w:rPr>
        <w:t>The major conclusion</w:t>
      </w:r>
      <w:r w:rsidR="00BC156D" w:rsidRPr="00BC156D">
        <w:rPr>
          <w:rFonts w:ascii="Times New Roman" w:hAnsi="Times New Roman" w:cs="Times New Roman"/>
          <w:lang w:val="en-GB"/>
        </w:rPr>
        <w:t>s</w:t>
      </w:r>
      <w:r w:rsidRPr="00BC156D">
        <w:rPr>
          <w:rFonts w:ascii="Times New Roman" w:hAnsi="Times New Roman" w:cs="Times New Roman"/>
          <w:lang w:val="en-GB"/>
        </w:rPr>
        <w:t xml:space="preserve"> of the present thesis research is that </w:t>
      </w:r>
      <w:r w:rsidR="00BC156D">
        <w:rPr>
          <w:rFonts w:ascii="Times New Roman" w:hAnsi="Times New Roman" w:cs="Times New Roman"/>
          <w:lang w:val="en-GB"/>
        </w:rPr>
        <w:t xml:space="preserve">the </w:t>
      </w:r>
      <w:r w:rsidR="00BC156D" w:rsidRPr="00BC156D">
        <w:rPr>
          <w:rFonts w:ascii="Times New Roman" w:hAnsi="Times New Roman" w:cs="Times New Roman"/>
          <w:lang w:val="en-GB"/>
        </w:rPr>
        <w:t xml:space="preserve">identified teaching and learning </w:t>
      </w:r>
      <w:r w:rsidR="00BC156D">
        <w:rPr>
          <w:rFonts w:ascii="Times New Roman" w:hAnsi="Times New Roman" w:cs="Times New Roman"/>
          <w:lang w:val="en-GB"/>
        </w:rPr>
        <w:t xml:space="preserve">demands </w:t>
      </w:r>
      <w:r w:rsidR="00BC156D" w:rsidRPr="00BC156D">
        <w:rPr>
          <w:rFonts w:ascii="Times New Roman" w:hAnsi="Times New Roman" w:cs="Times New Roman"/>
          <w:lang w:val="en-GB"/>
        </w:rPr>
        <w:t xml:space="preserve">involve an initial basis of the pedagogical content knowledge for </w:t>
      </w:r>
      <w:r w:rsidR="000933FA">
        <w:rPr>
          <w:rFonts w:ascii="Times New Roman" w:hAnsi="Times New Roman" w:cs="Times New Roman"/>
          <w:lang w:val="en-GB"/>
        </w:rPr>
        <w:t>interdisciplinary thinking</w:t>
      </w:r>
      <w:r w:rsidR="00BC156D" w:rsidRPr="00BC156D">
        <w:rPr>
          <w:rFonts w:ascii="Times New Roman" w:hAnsi="Times New Roman" w:cs="Times New Roman"/>
          <w:lang w:val="en-GB"/>
        </w:rPr>
        <w:t xml:space="preserve">, which needs validation across </w:t>
      </w:r>
      <w:r w:rsidR="000933FA">
        <w:rPr>
          <w:rFonts w:ascii="Times New Roman" w:hAnsi="Times New Roman" w:cs="Times New Roman"/>
          <w:lang w:val="en-GB"/>
        </w:rPr>
        <w:t>higher education in engineering.</w:t>
      </w:r>
      <w:r w:rsidR="00BC156D" w:rsidRPr="00BC156D">
        <w:rPr>
          <w:rFonts w:ascii="Times New Roman" w:hAnsi="Times New Roman" w:cs="Times New Roman"/>
          <w:lang w:val="en-GB"/>
        </w:rPr>
        <w:t xml:space="preserve"> In addition, the present thesis research concludes that the constructive alignment theory of Biggs and Tang and the learning theory of </w:t>
      </w:r>
      <w:proofErr w:type="spellStart"/>
      <w:r w:rsidR="00BC156D" w:rsidRPr="00BC156D">
        <w:rPr>
          <w:rFonts w:ascii="Times New Roman" w:hAnsi="Times New Roman" w:cs="Times New Roman"/>
          <w:lang w:val="en-GB"/>
        </w:rPr>
        <w:t>Illeris</w:t>
      </w:r>
      <w:proofErr w:type="spellEnd"/>
      <w:r w:rsidR="00BC156D" w:rsidRPr="00BC156D">
        <w:rPr>
          <w:rFonts w:ascii="Times New Roman" w:hAnsi="Times New Roman" w:cs="Times New Roman"/>
          <w:lang w:val="en-GB"/>
        </w:rPr>
        <w:t xml:space="preserve"> are indeed suitable to develop pedagogical content knowledge for a particular complex cognitive skill such as IDT. Furthermore, the present research concludes that the research methodology of design-based research is beneficial to jointly investigate design criteria and learning process characteristics. </w:t>
      </w:r>
    </w:p>
    <w:p w:rsidR="00BC156D" w:rsidRPr="000933FA" w:rsidRDefault="000C0C5E" w:rsidP="000933FA">
      <w:pPr>
        <w:spacing w:line="360" w:lineRule="auto"/>
        <w:contextualSpacing/>
        <w:rPr>
          <w:rFonts w:ascii="Times New Roman" w:hAnsi="Times New Roman" w:cs="Times New Roman"/>
          <w:b/>
          <w:lang w:val="en-GB"/>
        </w:rPr>
      </w:pPr>
      <w:r w:rsidRPr="000933FA">
        <w:rPr>
          <w:rFonts w:ascii="Times New Roman" w:hAnsi="Times New Roman" w:cs="Times New Roman"/>
          <w:b/>
          <w:lang w:val="en-GB"/>
        </w:rPr>
        <w:lastRenderedPageBreak/>
        <w:t>References</w:t>
      </w:r>
    </w:p>
    <w:p w:rsidR="000933FA" w:rsidRPr="000933FA" w:rsidRDefault="00BC156D" w:rsidP="000933FA">
      <w:pPr>
        <w:pStyle w:val="EndNoteBibliography"/>
        <w:spacing w:after="0" w:line="360" w:lineRule="auto"/>
        <w:ind w:left="720" w:hanging="720"/>
        <w:contextualSpacing/>
        <w:rPr>
          <w:rFonts w:ascii="Times New Roman" w:hAnsi="Times New Roman" w:cs="Times New Roman"/>
        </w:rPr>
      </w:pPr>
      <w:r w:rsidRPr="000933FA">
        <w:rPr>
          <w:rFonts w:ascii="Times New Roman" w:hAnsi="Times New Roman" w:cs="Times New Roman"/>
          <w:lang w:val="en-GB"/>
        </w:rPr>
        <w:fldChar w:fldCharType="begin"/>
      </w:r>
      <w:r w:rsidRPr="000933FA">
        <w:rPr>
          <w:rFonts w:ascii="Times New Roman" w:hAnsi="Times New Roman" w:cs="Times New Roman"/>
          <w:lang w:val="en-GB"/>
        </w:rPr>
        <w:instrText xml:space="preserve"> ADDIN EN.REFLIST </w:instrText>
      </w:r>
      <w:r w:rsidRPr="000933FA">
        <w:rPr>
          <w:rFonts w:ascii="Times New Roman" w:hAnsi="Times New Roman" w:cs="Times New Roman"/>
          <w:lang w:val="en-GB"/>
        </w:rPr>
        <w:fldChar w:fldCharType="separate"/>
      </w:r>
      <w:r w:rsidR="000933FA" w:rsidRPr="000933FA">
        <w:rPr>
          <w:rFonts w:ascii="Times New Roman" w:hAnsi="Times New Roman" w:cs="Times New Roman"/>
        </w:rPr>
        <w:t xml:space="preserve">Biggs, J. B., &amp; Tang, C. (2011). </w:t>
      </w:r>
      <w:r w:rsidR="000933FA" w:rsidRPr="000933FA">
        <w:rPr>
          <w:rFonts w:ascii="Times New Roman" w:hAnsi="Times New Roman" w:cs="Times New Roman"/>
          <w:i/>
        </w:rPr>
        <w:t>Teaching for quality learning at university</w:t>
      </w:r>
      <w:r w:rsidR="000933FA" w:rsidRPr="000933FA">
        <w:rPr>
          <w:rFonts w:ascii="Times New Roman" w:hAnsi="Times New Roman" w:cs="Times New Roman"/>
        </w:rPr>
        <w:t xml:space="preserve"> (4th ed.). Berkshire: Open University Press.</w:t>
      </w:r>
    </w:p>
    <w:p w:rsidR="000933FA" w:rsidRPr="000933FA" w:rsidRDefault="000933FA" w:rsidP="000933FA">
      <w:pPr>
        <w:pStyle w:val="EndNoteBibliography"/>
        <w:spacing w:after="0" w:line="360" w:lineRule="auto"/>
        <w:ind w:left="720" w:hanging="720"/>
        <w:contextualSpacing/>
        <w:rPr>
          <w:rFonts w:ascii="Times New Roman" w:hAnsi="Times New Roman" w:cs="Times New Roman"/>
        </w:rPr>
      </w:pPr>
      <w:r w:rsidRPr="000933FA">
        <w:rPr>
          <w:rFonts w:ascii="Times New Roman" w:hAnsi="Times New Roman" w:cs="Times New Roman"/>
        </w:rPr>
        <w:t xml:space="preserve">Boix Mansilla, V. (2010). Learning to synthesize: The development of interdisciplinary understanding. In R. Frodeman, J. T. Klein, &amp; C. Mitcham (Eds.), </w:t>
      </w:r>
      <w:r w:rsidRPr="000933FA">
        <w:rPr>
          <w:rFonts w:ascii="Times New Roman" w:hAnsi="Times New Roman" w:cs="Times New Roman"/>
          <w:i/>
        </w:rPr>
        <w:t>The Oxford handbook of interdisciplinarity</w:t>
      </w:r>
      <w:r w:rsidRPr="000933FA">
        <w:rPr>
          <w:rFonts w:ascii="Times New Roman" w:hAnsi="Times New Roman" w:cs="Times New Roman"/>
        </w:rPr>
        <w:t xml:space="preserve"> (pp. 288-306). New York: Oxford University Press.</w:t>
      </w:r>
    </w:p>
    <w:p w:rsidR="000933FA" w:rsidRPr="000933FA" w:rsidRDefault="000933FA" w:rsidP="000933FA">
      <w:pPr>
        <w:pStyle w:val="EndNoteBibliography"/>
        <w:spacing w:after="0" w:line="360" w:lineRule="auto"/>
        <w:ind w:left="720" w:hanging="720"/>
        <w:contextualSpacing/>
        <w:rPr>
          <w:rFonts w:ascii="Times New Roman" w:hAnsi="Times New Roman" w:cs="Times New Roman"/>
        </w:rPr>
      </w:pPr>
      <w:r w:rsidRPr="000933FA">
        <w:rPr>
          <w:rFonts w:ascii="Times New Roman" w:hAnsi="Times New Roman" w:cs="Times New Roman"/>
        </w:rPr>
        <w:t xml:space="preserve">Illeris, K. (2003). Towards a contemporary and comprehensive theory of learning. </w:t>
      </w:r>
      <w:r w:rsidRPr="000933FA">
        <w:rPr>
          <w:rFonts w:ascii="Times New Roman" w:hAnsi="Times New Roman" w:cs="Times New Roman"/>
          <w:i/>
        </w:rPr>
        <w:t>International Journal of Lifelong education, 22</w:t>
      </w:r>
      <w:r w:rsidRPr="000933FA">
        <w:rPr>
          <w:rFonts w:ascii="Times New Roman" w:hAnsi="Times New Roman" w:cs="Times New Roman"/>
        </w:rPr>
        <w:t xml:space="preserve">(4), 396-406. </w:t>
      </w:r>
    </w:p>
    <w:p w:rsidR="000933FA" w:rsidRPr="000933FA" w:rsidRDefault="000933FA" w:rsidP="000933FA">
      <w:pPr>
        <w:pStyle w:val="EndNoteBibliography"/>
        <w:spacing w:line="360" w:lineRule="auto"/>
        <w:ind w:left="720" w:hanging="720"/>
        <w:contextualSpacing/>
        <w:rPr>
          <w:rFonts w:ascii="Times New Roman" w:hAnsi="Times New Roman" w:cs="Times New Roman"/>
        </w:rPr>
      </w:pPr>
      <w:r w:rsidRPr="000933FA">
        <w:rPr>
          <w:rFonts w:ascii="Times New Roman" w:hAnsi="Times New Roman" w:cs="Times New Roman"/>
        </w:rPr>
        <w:t xml:space="preserve">Shulman, L. S. (1987). Knowledge and teaching: Foundations of the new reform. </w:t>
      </w:r>
      <w:r w:rsidRPr="000933FA">
        <w:rPr>
          <w:rFonts w:ascii="Times New Roman" w:hAnsi="Times New Roman" w:cs="Times New Roman"/>
          <w:i/>
        </w:rPr>
        <w:t>Harvard Educational Review, 57</w:t>
      </w:r>
      <w:r w:rsidRPr="000933FA">
        <w:rPr>
          <w:rFonts w:ascii="Times New Roman" w:hAnsi="Times New Roman" w:cs="Times New Roman"/>
        </w:rPr>
        <w:t xml:space="preserve">(1), 1-21. </w:t>
      </w:r>
    </w:p>
    <w:p w:rsidR="00F5241F" w:rsidRPr="000933FA" w:rsidRDefault="00BC156D" w:rsidP="000933FA">
      <w:pPr>
        <w:spacing w:line="360" w:lineRule="auto"/>
        <w:ind w:firstLine="708"/>
        <w:contextualSpacing/>
        <w:rPr>
          <w:rFonts w:ascii="Times New Roman" w:hAnsi="Times New Roman" w:cs="Times New Roman"/>
          <w:lang w:val="en-GB"/>
        </w:rPr>
      </w:pPr>
      <w:r w:rsidRPr="000933FA">
        <w:rPr>
          <w:rFonts w:ascii="Times New Roman" w:hAnsi="Times New Roman" w:cs="Times New Roman"/>
          <w:lang w:val="en-GB"/>
        </w:rPr>
        <w:fldChar w:fldCharType="end"/>
      </w:r>
    </w:p>
    <w:sectPr w:rsidR="00F5241F" w:rsidRPr="000933FA">
      <w:head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3E" w:rsidRDefault="00F1543E" w:rsidP="00BC156D">
      <w:pPr>
        <w:spacing w:after="0" w:line="240" w:lineRule="auto"/>
      </w:pPr>
      <w:r>
        <w:separator/>
      </w:r>
    </w:p>
  </w:endnote>
  <w:endnote w:type="continuationSeparator" w:id="0">
    <w:p w:rsidR="00F1543E" w:rsidRDefault="00F1543E" w:rsidP="00BC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3E" w:rsidRDefault="00F1543E" w:rsidP="00BC156D">
      <w:pPr>
        <w:spacing w:after="0" w:line="240" w:lineRule="auto"/>
      </w:pPr>
      <w:r>
        <w:separator/>
      </w:r>
    </w:p>
  </w:footnote>
  <w:footnote w:type="continuationSeparator" w:id="0">
    <w:p w:rsidR="00F1543E" w:rsidRDefault="00F1543E" w:rsidP="00BC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6D" w:rsidRPr="00DE0D5B" w:rsidRDefault="00BC156D" w:rsidP="002F53D6">
    <w:pPr>
      <w:pStyle w:val="Header"/>
      <w:rPr>
        <w:rFonts w:ascii="Times New Roman" w:hAnsi="Times New Roman" w:cs="Times New Roman"/>
        <w:i/>
        <w:sz w:val="20"/>
        <w:szCs w:val="20"/>
        <w:lang w:val="en-GB"/>
      </w:rPr>
    </w:pPr>
    <w:r>
      <w:rPr>
        <w:noProof/>
        <w:lang w:val="en-GB" w:eastAsia="en-GB"/>
      </w:rPr>
      <mc:AlternateContent>
        <mc:Choice Requires="wps">
          <w:drawing>
            <wp:anchor distT="0" distB="0" distL="114300" distR="114300" simplePos="0" relativeHeight="251659264" behindDoc="0" locked="0" layoutInCell="1" allowOverlap="1" wp14:anchorId="3AF3375A" wp14:editId="1F9F3AD5">
              <wp:simplePos x="0" y="0"/>
              <wp:positionH relativeFrom="column">
                <wp:posOffset>-49258</wp:posOffset>
              </wp:positionH>
              <wp:positionV relativeFrom="paragraph">
                <wp:posOffset>267335</wp:posOffset>
              </wp:positionV>
              <wp:extent cx="5675630" cy="0"/>
              <wp:effectExtent l="0" t="0" r="20320" b="19050"/>
              <wp:wrapNone/>
              <wp:docPr id="1" name="Straight Connector 759"/>
              <wp:cNvGraphicFramePr/>
              <a:graphic xmlns:a="http://schemas.openxmlformats.org/drawingml/2006/main">
                <a:graphicData uri="http://schemas.microsoft.com/office/word/2010/wordprocessingShape">
                  <wps:wsp>
                    <wps:cNvCnPr/>
                    <wps:spPr>
                      <a:xfrm>
                        <a:off x="0" y="0"/>
                        <a:ext cx="5675630" cy="0"/>
                      </a:xfrm>
                      <a:prstGeom prst="line">
                        <a:avLst/>
                      </a:prstGeom>
                      <a:noFill/>
                      <a:ln w="3175"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DBD1F4E" id="Straight Connector 75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21.05pt" to="4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" strokecolor="windowText" strokeweight=".25pt">
              <v:stroke joinstyle="miter"/>
            </v:line>
          </w:pict>
        </mc:Fallback>
      </mc:AlternateContent>
    </w:r>
    <w:r>
      <w:rPr>
        <w:rFonts w:ascii="Times New Roman" w:hAnsi="Times New Roman" w:cs="Times New Roman"/>
        <w:i/>
        <w:sz w:val="20"/>
        <w:szCs w:val="20"/>
        <w:lang w:val="en-GB"/>
      </w:rPr>
      <w:t xml:space="preserve">Chapter 6 </w:t>
    </w:r>
  </w:p>
  <w:p w:rsidR="00BC156D" w:rsidRPr="002F53D6" w:rsidRDefault="00BC156D" w:rsidP="002F5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50" w:rsidRPr="00DE0D5B" w:rsidRDefault="00802AC8" w:rsidP="002F53D6">
    <w:pPr>
      <w:pStyle w:val="Header"/>
      <w:rPr>
        <w:rFonts w:ascii="Times New Roman" w:hAnsi="Times New Roman" w:cs="Times New Roman"/>
        <w:i/>
        <w:sz w:val="20"/>
        <w:szCs w:val="20"/>
        <w:lang w:val="en-GB"/>
      </w:rPr>
    </w:pPr>
    <w:r>
      <w:rPr>
        <w:noProof/>
        <w:lang w:val="en-GB" w:eastAsia="en-GB"/>
      </w:rPr>
      <mc:AlternateContent>
        <mc:Choice Requires="wps">
          <w:drawing>
            <wp:anchor distT="0" distB="0" distL="114300" distR="114300" simplePos="0" relativeHeight="251656192" behindDoc="0" locked="0" layoutInCell="1" allowOverlap="1" wp14:anchorId="0E50CD75" wp14:editId="4CE6AD7D">
              <wp:simplePos x="0" y="0"/>
              <wp:positionH relativeFrom="column">
                <wp:posOffset>-49258</wp:posOffset>
              </wp:positionH>
              <wp:positionV relativeFrom="paragraph">
                <wp:posOffset>267335</wp:posOffset>
              </wp:positionV>
              <wp:extent cx="5675630" cy="0"/>
              <wp:effectExtent l="0" t="0" r="20320" b="19050"/>
              <wp:wrapNone/>
              <wp:docPr id="8" name="Straight Connector 759"/>
              <wp:cNvGraphicFramePr/>
              <a:graphic xmlns:a="http://schemas.openxmlformats.org/drawingml/2006/main">
                <a:graphicData uri="http://schemas.microsoft.com/office/word/2010/wordprocessingShape">
                  <wps:wsp>
                    <wps:cNvCnPr/>
                    <wps:spPr>
                      <a:xfrm>
                        <a:off x="0" y="0"/>
                        <a:ext cx="5675630" cy="0"/>
                      </a:xfrm>
                      <a:prstGeom prst="line">
                        <a:avLst/>
                      </a:prstGeom>
                      <a:noFill/>
                      <a:ln w="3175"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48A4052D" id="Straight Connector 75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9pt,21.05pt" to="4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" strokecolor="windowText" strokeweight=".25pt">
              <v:stroke joinstyle="miter"/>
            </v:line>
          </w:pict>
        </mc:Fallback>
      </mc:AlternateContent>
    </w:r>
    <w:r>
      <w:rPr>
        <w:rFonts w:ascii="Times New Roman" w:hAnsi="Times New Roman" w:cs="Times New Roman"/>
        <w:i/>
        <w:sz w:val="20"/>
        <w:szCs w:val="20"/>
        <w:lang w:val="en-GB"/>
      </w:rPr>
      <w:t xml:space="preserve">Chapter 6 </w:t>
    </w:r>
  </w:p>
  <w:p w:rsidR="00900F50" w:rsidRPr="002F53D6" w:rsidRDefault="00764569" w:rsidP="002F5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90161"/>
    <w:multiLevelType w:val="hybridMultilevel"/>
    <w:tmpl w:val="0F30EB52"/>
    <w:lvl w:ilvl="0" w:tplc="4E2ED442">
      <w:start w:val="1"/>
      <w:numFmt w:val="lowerLetter"/>
      <w:lvlText w:val="%1."/>
      <w:lvlJc w:val="left"/>
      <w:pPr>
        <w:ind w:left="720" w:hanging="360"/>
      </w:pPr>
      <w:rPr>
        <w:rFonts w:ascii="Times New Roman" w:eastAsiaTheme="minorHAns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pr2xa25pw2ztepzdapd9t9r0pt0waawz0z&quot;&gt;EndnoteLibraryES 150701&lt;record-ids&gt;&lt;item&gt;230&lt;/item&gt;&lt;item&gt;333&lt;/item&gt;&lt;item&gt;527&lt;/item&gt;&lt;item&gt;543&lt;/item&gt;&lt;/record-ids&gt;&lt;/item&gt;&lt;/Libraries&gt;"/>
  </w:docVars>
  <w:rsids>
    <w:rsidRoot w:val="0079384F"/>
    <w:rsid w:val="00051EA2"/>
    <w:rsid w:val="000831C8"/>
    <w:rsid w:val="000933FA"/>
    <w:rsid w:val="000C0C5E"/>
    <w:rsid w:val="000F7FF6"/>
    <w:rsid w:val="001F31D3"/>
    <w:rsid w:val="002035AC"/>
    <w:rsid w:val="002B0F4C"/>
    <w:rsid w:val="00355B82"/>
    <w:rsid w:val="00405F64"/>
    <w:rsid w:val="004D4B2F"/>
    <w:rsid w:val="005038D2"/>
    <w:rsid w:val="00574D6A"/>
    <w:rsid w:val="006646EF"/>
    <w:rsid w:val="00671186"/>
    <w:rsid w:val="0070733F"/>
    <w:rsid w:val="00734557"/>
    <w:rsid w:val="007415D2"/>
    <w:rsid w:val="00764569"/>
    <w:rsid w:val="0079384F"/>
    <w:rsid w:val="00802AC8"/>
    <w:rsid w:val="008872C1"/>
    <w:rsid w:val="008E1986"/>
    <w:rsid w:val="00B75749"/>
    <w:rsid w:val="00B95F93"/>
    <w:rsid w:val="00BC156D"/>
    <w:rsid w:val="00BC6CAC"/>
    <w:rsid w:val="00BF1341"/>
    <w:rsid w:val="00CB0E2C"/>
    <w:rsid w:val="00D00858"/>
    <w:rsid w:val="00D97519"/>
    <w:rsid w:val="00E017EB"/>
    <w:rsid w:val="00E252C5"/>
    <w:rsid w:val="00E336BD"/>
    <w:rsid w:val="00E828AC"/>
    <w:rsid w:val="00EB7216"/>
    <w:rsid w:val="00EF1FAF"/>
    <w:rsid w:val="00F1543E"/>
    <w:rsid w:val="00F5241F"/>
    <w:rsid w:val="00FB27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82"/>
    <w:pPr>
      <w:ind w:left="720"/>
      <w:contextualSpacing/>
    </w:pPr>
  </w:style>
  <w:style w:type="paragraph" w:styleId="BalloonText">
    <w:name w:val="Balloon Text"/>
    <w:basedOn w:val="Normal"/>
    <w:link w:val="BalloonTextChar"/>
    <w:uiPriority w:val="99"/>
    <w:semiHidden/>
    <w:unhideWhenUsed/>
    <w:rsid w:val="00EF1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AF"/>
    <w:rPr>
      <w:rFonts w:ascii="Segoe UI" w:hAnsi="Segoe UI" w:cs="Segoe UI"/>
      <w:sz w:val="18"/>
      <w:szCs w:val="18"/>
    </w:rPr>
  </w:style>
  <w:style w:type="paragraph" w:customStyle="1" w:styleId="EndNoteBibliographyTitle">
    <w:name w:val="EndNote Bibliography Title"/>
    <w:basedOn w:val="Normal"/>
    <w:link w:val="EndNoteBibliographyTitleChar"/>
    <w:rsid w:val="00BC156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C156D"/>
    <w:rPr>
      <w:rFonts w:ascii="Calibri" w:hAnsi="Calibri"/>
      <w:noProof/>
      <w:lang w:val="en-US"/>
    </w:rPr>
  </w:style>
  <w:style w:type="paragraph" w:customStyle="1" w:styleId="EndNoteBibliography">
    <w:name w:val="EndNote Bibliography"/>
    <w:basedOn w:val="Normal"/>
    <w:link w:val="EndNoteBibliographyChar"/>
    <w:rsid w:val="00BC156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C156D"/>
    <w:rPr>
      <w:rFonts w:ascii="Calibri" w:hAnsi="Calibri"/>
      <w:noProof/>
      <w:lang w:val="en-US"/>
    </w:rPr>
  </w:style>
  <w:style w:type="paragraph" w:styleId="Header">
    <w:name w:val="header"/>
    <w:basedOn w:val="Normal"/>
    <w:link w:val="HeaderChar"/>
    <w:uiPriority w:val="99"/>
    <w:unhideWhenUsed/>
    <w:rsid w:val="00BC15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56D"/>
  </w:style>
  <w:style w:type="paragraph" w:styleId="Footer">
    <w:name w:val="footer"/>
    <w:basedOn w:val="Normal"/>
    <w:link w:val="FooterChar"/>
    <w:uiPriority w:val="99"/>
    <w:unhideWhenUsed/>
    <w:rsid w:val="00BC15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82"/>
    <w:pPr>
      <w:ind w:left="720"/>
      <w:contextualSpacing/>
    </w:pPr>
  </w:style>
  <w:style w:type="paragraph" w:styleId="BalloonText">
    <w:name w:val="Balloon Text"/>
    <w:basedOn w:val="Normal"/>
    <w:link w:val="BalloonTextChar"/>
    <w:uiPriority w:val="99"/>
    <w:semiHidden/>
    <w:unhideWhenUsed/>
    <w:rsid w:val="00EF1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AF"/>
    <w:rPr>
      <w:rFonts w:ascii="Segoe UI" w:hAnsi="Segoe UI" w:cs="Segoe UI"/>
      <w:sz w:val="18"/>
      <w:szCs w:val="18"/>
    </w:rPr>
  </w:style>
  <w:style w:type="paragraph" w:customStyle="1" w:styleId="EndNoteBibliographyTitle">
    <w:name w:val="EndNote Bibliography Title"/>
    <w:basedOn w:val="Normal"/>
    <w:link w:val="EndNoteBibliographyTitleChar"/>
    <w:rsid w:val="00BC156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C156D"/>
    <w:rPr>
      <w:rFonts w:ascii="Calibri" w:hAnsi="Calibri"/>
      <w:noProof/>
      <w:lang w:val="en-US"/>
    </w:rPr>
  </w:style>
  <w:style w:type="paragraph" w:customStyle="1" w:styleId="EndNoteBibliography">
    <w:name w:val="EndNote Bibliography"/>
    <w:basedOn w:val="Normal"/>
    <w:link w:val="EndNoteBibliographyChar"/>
    <w:rsid w:val="00BC156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C156D"/>
    <w:rPr>
      <w:rFonts w:ascii="Calibri" w:hAnsi="Calibri"/>
      <w:noProof/>
      <w:lang w:val="en-US"/>
    </w:rPr>
  </w:style>
  <w:style w:type="paragraph" w:styleId="Header">
    <w:name w:val="header"/>
    <w:basedOn w:val="Normal"/>
    <w:link w:val="HeaderChar"/>
    <w:uiPriority w:val="99"/>
    <w:unhideWhenUsed/>
    <w:rsid w:val="00BC15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56D"/>
  </w:style>
  <w:style w:type="paragraph" w:styleId="Footer">
    <w:name w:val="footer"/>
    <w:basedOn w:val="Normal"/>
    <w:link w:val="FooterChar"/>
    <w:uiPriority w:val="99"/>
    <w:unhideWhenUsed/>
    <w:rsid w:val="00BC15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5968</Characters>
  <Application>Microsoft Office Word</Application>
  <DocSecurity>4</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Elsbeth Spelt</dc:creator>
  <cp:lastModifiedBy>Hoksbergen, Lysanne</cp:lastModifiedBy>
  <cp:revision>2</cp:revision>
  <cp:lastPrinted>2015-07-10T10:46:00Z</cp:lastPrinted>
  <dcterms:created xsi:type="dcterms:W3CDTF">2015-10-14T14:11:00Z</dcterms:created>
  <dcterms:modified xsi:type="dcterms:W3CDTF">2015-10-14T14:11:00Z</dcterms:modified>
</cp:coreProperties>
</file>