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5"/>
      </w:tblGrid>
      <w:tr w:rsidR="00784098" w14:paraId="67BBB9AB" w14:textId="77777777" w:rsidTr="00736D71"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</w:tcPr>
          <w:p w14:paraId="67BBB9AA" w14:textId="77777777" w:rsidR="0051408B" w:rsidRPr="0051408B" w:rsidRDefault="00957F43" w:rsidP="00C63B6E">
            <w:pPr>
              <w:tabs>
                <w:tab w:val="left" w:pos="1560"/>
              </w:tabs>
              <w:rPr>
                <w:color w:val="70AD47" w:themeColor="accent6"/>
                <w:sz w:val="18"/>
                <w:szCs w:val="52"/>
              </w:rPr>
            </w:pPr>
            <w:r w:rsidRPr="0051408B">
              <w:rPr>
                <w:color w:val="70AD47" w:themeColor="accent6"/>
                <w:sz w:val="18"/>
                <w:szCs w:val="52"/>
              </w:rPr>
              <w:fldChar w:fldCharType="begin"/>
            </w:r>
            <w:r w:rsidRPr="0051408B">
              <w:rPr>
                <w:color w:val="70AD47" w:themeColor="accent6"/>
                <w:sz w:val="18"/>
                <w:szCs w:val="52"/>
              </w:rPr>
              <w:instrText xml:space="preserve"> DOCPROPERTY  qoltitle  \* MERGEFORMAT </w:instrText>
            </w:r>
            <w:r w:rsidRPr="0051408B">
              <w:rPr>
                <w:color w:val="70AD47" w:themeColor="accent6"/>
                <w:sz w:val="18"/>
                <w:szCs w:val="52"/>
              </w:rPr>
              <w:fldChar w:fldCharType="separate"/>
            </w:r>
            <w:r w:rsidRPr="0051408B">
              <w:rPr>
                <w:color w:val="70AD47" w:themeColor="accent6"/>
                <w:sz w:val="18"/>
                <w:szCs w:val="52"/>
              </w:rPr>
              <w:t>Overzicht conformiteitstatus geaccrediteerde analysemethodes</w:t>
            </w:r>
            <w:r w:rsidRPr="0051408B">
              <w:rPr>
                <w:color w:val="70AD47" w:themeColor="accent6"/>
                <w:sz w:val="18"/>
                <w:szCs w:val="52"/>
              </w:rPr>
              <w:fldChar w:fldCharType="end"/>
            </w:r>
          </w:p>
        </w:tc>
      </w:tr>
    </w:tbl>
    <w:tbl>
      <w:tblPr>
        <w:tblW w:w="5033" w:type="pct"/>
        <w:tblLayout w:type="fixed"/>
        <w:tblLook w:val="04A0" w:firstRow="1" w:lastRow="0" w:firstColumn="1" w:lastColumn="0" w:noHBand="0" w:noVBand="1"/>
      </w:tblPr>
      <w:tblGrid>
        <w:gridCol w:w="1074"/>
        <w:gridCol w:w="1576"/>
        <w:gridCol w:w="2645"/>
        <w:gridCol w:w="2145"/>
        <w:gridCol w:w="835"/>
        <w:gridCol w:w="845"/>
      </w:tblGrid>
      <w:tr w:rsidR="00784098" w14:paraId="67BBB9B2" w14:textId="77777777" w:rsidTr="007A0A43">
        <w:trPr>
          <w:trHeight w:val="864"/>
          <w:tblHeader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BBB9AC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 xml:space="preserve">Intern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referentie-nummer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BBB9AD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1362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Materiaal</w:t>
            </w:r>
            <w:proofErr w:type="spellEnd"/>
            <w:r w:rsidRPr="0011362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 xml:space="preserve"> of Product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BBB9AE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1362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Verrichting</w:t>
            </w:r>
            <w:proofErr w:type="spellEnd"/>
            <w:r w:rsidRPr="0011362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/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Onderzoeksmethode</w:t>
            </w:r>
            <w:proofErr w:type="spellEnd"/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BBB9AF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1362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Referentiemethode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BBB9B0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conform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BBB9B1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11362A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val="en-US"/>
              </w:rPr>
              <w:t>gelijk-waardig</w:t>
            </w:r>
            <w:proofErr w:type="spellEnd"/>
          </w:p>
        </w:tc>
      </w:tr>
      <w:tr w:rsidR="00784098" w14:paraId="67BBB9B9" w14:textId="77777777" w:rsidTr="00EC39F3">
        <w:trPr>
          <w:trHeight w:val="57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9B3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N0294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B4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Melkvet</w:t>
            </w:r>
            <w:proofErr w:type="spellEnd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B5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Detectie van vreemde vetten in melkvet door analyse van de triglyceriden; Capillaire gaschromatografie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9B6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ISO 17678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B7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B8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784098" w14:paraId="67BBB9C0" w14:textId="77777777" w:rsidTr="00EC39F3">
        <w:trPr>
          <w:trHeight w:val="57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9BA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A0712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BB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Dierlijke en plantaardige vetten en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olien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BC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Bereiding en bepaling van vetzuurmethylesters; GC-FID en FID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9BD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NEN-EN-ISO 12966-2 en NEN-EN-ISO 12966-4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BE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BF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x</w:t>
            </w:r>
            <w:r w:rsidR="00804737"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784098" w14:paraId="67BBB9C7" w14:textId="77777777" w:rsidTr="00EC39F3">
        <w:trPr>
          <w:trHeight w:val="57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9C1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N0132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C2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Agrarische</w:t>
            </w:r>
            <w:proofErr w:type="spellEnd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producten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C3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Bepalen van de activiteit van gammastraling uitzendende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radionucliden;halfgeleider-gammaspectrometrie</w:t>
            </w:r>
            <w:proofErr w:type="spellEnd"/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9C4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NEN 5623:2016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C5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C6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9D1" w14:textId="77777777" w:rsidTr="00EC39F3">
        <w:trPr>
          <w:trHeight w:val="93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9C8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N0272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C9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Mengvoeders</w:t>
            </w:r>
            <w:proofErr w:type="spellEnd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 en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mengvoedergrondstoffen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CA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Bepaling van het gehalte vocht;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gravimetrisch</w:t>
            </w:r>
            <w:proofErr w:type="spellEnd"/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BB9CB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Producttype 1,2 en 3: EG 152/2009, bijlage III, deel A 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 xml:space="preserve">Producttype 4 en 5: NEN-EN-ISO 665 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>Producttype 6: uitvoering EG 152/2009, bijlage III, deel 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B9CC" w14:textId="77777777" w:rsidR="00FE2DD7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</w:p>
          <w:p w14:paraId="67BBB9CD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B9CE" w14:textId="77777777" w:rsidR="00FE2DD7" w:rsidRDefault="00FE2DD7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  <w:p w14:paraId="67BBB9CF" w14:textId="77777777" w:rsidR="00FE2DD7" w:rsidRDefault="00FE2DD7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  <w:p w14:paraId="67BBB9D0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br/>
              <w:t>x</w:t>
            </w:r>
          </w:p>
        </w:tc>
      </w:tr>
      <w:tr w:rsidR="00784098" w14:paraId="67BBB9D8" w14:textId="77777777" w:rsidTr="00EC39F3">
        <w:trPr>
          <w:trHeight w:val="57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9D2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A0756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D3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Melk en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melkproducten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D4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Bepaling van het vetgehalte m.b.v.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RöseGottlieb</w:t>
            </w:r>
            <w:proofErr w:type="spellEnd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methode;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gravimetrisch</w:t>
            </w:r>
            <w:proofErr w:type="spellEnd"/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9D5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IDF 1/ISO1211 (melk) IDF9ISO 1735</w:t>
            </w:r>
            <w:r w:rsid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(melkpoeder)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D6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D7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9DF" w14:textId="77777777" w:rsidTr="00EC39F3">
        <w:trPr>
          <w:trHeight w:val="57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9D9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A0835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B9DA" w14:textId="77777777" w:rsidR="0011362A" w:rsidRPr="0011362A" w:rsidRDefault="0011362A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DB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Bepaling van het stikstofgehalte en de berekening van het gehalte ruw eiwit;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Kjeldahl</w:t>
            </w:r>
            <w:proofErr w:type="spellEnd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methode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9DC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NEN-EN-ISO 8968-1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DD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DE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784098" w14:paraId="67BBB9E6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9E0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N0118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E1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Vlees</w:t>
            </w:r>
            <w:proofErr w:type="spellEnd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 en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vleesproducten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E2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Bepaling van het vochtgehalte;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gravimetrisch</w:t>
            </w:r>
            <w:proofErr w:type="spellEnd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9E3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NEN-ISO 1442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E4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E5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9ED" w14:textId="77777777" w:rsidTr="00EC39F3">
        <w:trPr>
          <w:trHeight w:val="57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9E7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A0839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B9E8" w14:textId="77777777" w:rsidR="0011362A" w:rsidRPr="0011362A" w:rsidRDefault="0011362A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E9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Bepaling van het stikstofgehalte en de berekening van het gehalte ruw eiwit;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Kjeldahl</w:t>
            </w:r>
            <w:proofErr w:type="spellEnd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methode 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9EA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NEN-ISO 937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EB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EC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784098" w14:paraId="67BBB9F4" w14:textId="77777777" w:rsidTr="00EC39F3">
        <w:trPr>
          <w:trHeight w:val="57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9EE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N0371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EF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Meststoffen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F0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De bepaling van de som van het gehalte aan nitraat- en ammonium</w:t>
            </w:r>
            <w:r w:rsid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softHyphen/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stikstof volgens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Devarda</w:t>
            </w:r>
            <w:proofErr w:type="spellEnd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9F1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Deel</w:t>
            </w:r>
            <w:proofErr w:type="spellEnd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 A NEN-EN 15476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F2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F3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A01" w14:textId="77777777" w:rsidTr="00EC39F3">
        <w:trPr>
          <w:trHeight w:val="921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9F5" w14:textId="77777777" w:rsidR="0011362A" w:rsidRPr="00EC39F3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39F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SOP N0328</w:t>
            </w:r>
          </w:p>
          <w:p w14:paraId="67BBB9F6" w14:textId="77777777" w:rsidR="00D33D59" w:rsidRPr="00EC39F3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39F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SOP N0325</w:t>
            </w:r>
          </w:p>
          <w:p w14:paraId="67BBB9F7" w14:textId="77777777" w:rsidR="00D33D59" w:rsidRPr="00EC39F3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39F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SOP N0326</w:t>
            </w:r>
          </w:p>
          <w:p w14:paraId="67BBB9F8" w14:textId="77777777" w:rsidR="00D33D59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D33D5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N0327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F9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Dierlijke</w:t>
            </w:r>
            <w:proofErr w:type="spellEnd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mest</w:t>
            </w:r>
            <w:proofErr w:type="spellEnd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 en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mestproducten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FA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Bepaling van het gehalte aan totaal stikstof; titrimetrisch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9FB" w14:textId="77777777" w:rsidR="00D33D59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NEN 7434 </w:t>
            </w:r>
          </w:p>
          <w:p w14:paraId="67BBB9FC" w14:textId="77777777" w:rsidR="00D33D59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NEN 7430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(voorbehandeling)</w:t>
            </w:r>
          </w:p>
          <w:p w14:paraId="67BBB9FD" w14:textId="77777777" w:rsidR="00D33D59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NEN 7431 </w:t>
            </w:r>
            <w:r w:rsidRPr="00D33D5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(voorbehandeling)</w:t>
            </w:r>
          </w:p>
          <w:p w14:paraId="67BBB9FE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NEN 7433</w:t>
            </w:r>
            <w:r w:rsidR="00D33D5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(ontsluiting)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9FF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00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A0B" w14:textId="77777777" w:rsidTr="00EC39F3">
        <w:trPr>
          <w:trHeight w:val="939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02" w14:textId="77777777" w:rsidR="0011362A" w:rsidRPr="00EC39F3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39F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SOP N0329</w:t>
            </w:r>
          </w:p>
          <w:p w14:paraId="67BBBA03" w14:textId="77777777" w:rsidR="00D33D59" w:rsidRPr="00EC39F3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39F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SOP N0325</w:t>
            </w:r>
          </w:p>
          <w:p w14:paraId="67BBBA04" w14:textId="77777777" w:rsidR="00D33D59" w:rsidRPr="00EC39F3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39F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SOP N0326</w:t>
            </w:r>
          </w:p>
          <w:p w14:paraId="67BBBA05" w14:textId="77777777" w:rsidR="00D33D59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D33D5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N0327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06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Dierlijke</w:t>
            </w:r>
            <w:proofErr w:type="spellEnd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mest</w:t>
            </w:r>
            <w:proofErr w:type="spellEnd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 en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mestproducten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07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Bepaling van het gehalte aan totaal fosfor;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spectrofotometrisch</w:t>
            </w:r>
            <w:proofErr w:type="spellEnd"/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08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</w:t>
            </w:r>
            <w:r w:rsidRPr="00D33D5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</w:rPr>
              <w:t>e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ontwerp NEN 7435:1998 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 xml:space="preserve">NEN 7430 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 xml:space="preserve">NEN 7431 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  <w:t>NEN 7433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09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  <w:proofErr w:type="spellEnd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  <w:proofErr w:type="spellEnd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0A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A12" w14:textId="77777777" w:rsidTr="00EC39F3">
        <w:trPr>
          <w:trHeight w:val="57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0C" w14:textId="77777777" w:rsidR="0011362A" w:rsidRPr="0011362A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N0357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0D" w14:textId="77777777" w:rsidR="0011362A" w:rsidRPr="0011362A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Boter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0E" w14:textId="77777777" w:rsidR="0011362A" w:rsidRPr="0011362A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Bepaling van het vetvrije droge stofgehalte,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gravimetrisch</w:t>
            </w:r>
            <w:proofErr w:type="spellEnd"/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0F" w14:textId="77777777" w:rsidR="0011362A" w:rsidRPr="0011362A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NEN-EN-ISO 3727-2:2001/IDF 80-2:2001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10" w14:textId="77777777" w:rsidR="0011362A" w:rsidRPr="0011362A" w:rsidRDefault="00957F43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11" w14:textId="77777777" w:rsidR="0011362A" w:rsidRPr="0011362A" w:rsidRDefault="00957F43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A19" w14:textId="77777777" w:rsidTr="00EC39F3">
        <w:trPr>
          <w:trHeight w:val="57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13" w14:textId="77777777" w:rsidR="0011362A" w:rsidRPr="0011362A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N0312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BA14" w14:textId="77777777" w:rsidR="0011362A" w:rsidRPr="0011362A" w:rsidRDefault="0011362A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15" w14:textId="77777777" w:rsidR="0011362A" w:rsidRPr="0011362A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Bepaling van het vochtgehalte,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grafimetrisch</w:t>
            </w:r>
            <w:proofErr w:type="spellEnd"/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16" w14:textId="77777777" w:rsidR="0011362A" w:rsidRPr="0011362A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NEN-EN-ISO 3727-1:2001/IDF 80-1:2001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17" w14:textId="77777777" w:rsidR="0011362A" w:rsidRPr="0011362A" w:rsidRDefault="00957F43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18" w14:textId="77777777" w:rsidR="0011362A" w:rsidRPr="0011362A" w:rsidRDefault="00957F43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A20" w14:textId="77777777" w:rsidTr="00EC39F3">
        <w:trPr>
          <w:trHeight w:val="57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1A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N0388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BA1B" w14:textId="77777777" w:rsidR="0011362A" w:rsidRPr="0011362A" w:rsidRDefault="0011362A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1C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Bepaling van het vetgehalte -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gravimetrisch</w:t>
            </w:r>
            <w:proofErr w:type="spellEnd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1D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NEN-EN-ISO 17189/IDF 194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1E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1F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A27" w14:textId="77777777" w:rsidTr="00EC39F3">
        <w:trPr>
          <w:trHeight w:val="576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21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N0417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22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Dierlijke en plantaardige vetten en oliën 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23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Bepaling van het vochtgehalte -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gravimetrisch</w:t>
            </w:r>
            <w:proofErr w:type="spellEnd"/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24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EG 152/2009, </w:t>
            </w:r>
            <w:r w:rsidR="00514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</w: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bijlage III, deel B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25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26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A2E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28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N0335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29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Melk en melkpoeder van koeienorigine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2A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Bepaling van de alkalische fosfataseactiviteit;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fluorophos</w:t>
            </w:r>
            <w:proofErr w:type="spellEnd"/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2B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NEN-EN-ISO 11816-1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2C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2D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A35" w14:textId="77777777" w:rsidTr="00B93165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BBA2F" w14:textId="77777777" w:rsidR="0051408B" w:rsidRPr="0011362A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514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lastRenderedPageBreak/>
              <w:t>SOP A0584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A30" w14:textId="77777777" w:rsidR="0051408B" w:rsidRPr="0011362A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14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Diervoeders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A31" w14:textId="77777777" w:rsidR="0051408B" w:rsidRPr="0011362A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14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Bepalen van het stikstofgehalte en de</w:t>
            </w:r>
            <w:r w:rsid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514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berekening van het gehalte ruw eiwit;</w:t>
            </w:r>
            <w:r w:rsid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14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Kjeldahl</w:t>
            </w:r>
            <w:proofErr w:type="spellEnd"/>
            <w:r w:rsidRPr="00514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methode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BBA32" w14:textId="77777777" w:rsidR="0051408B" w:rsidRPr="0051408B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514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EG 152/2009,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</w:r>
            <w:r w:rsidRPr="0051408B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bijlage III, deel C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A33" w14:textId="77777777" w:rsidR="0051408B" w:rsidRPr="0051408B" w:rsidRDefault="0051408B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A34" w14:textId="77777777" w:rsidR="0051408B" w:rsidRPr="0051408B" w:rsidRDefault="00957F43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784098" w14:paraId="67BBBA3D" w14:textId="77777777" w:rsidTr="00B93165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BBA36" w14:textId="77777777" w:rsidR="0051408B" w:rsidRPr="0051408B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SOP A0836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A37" w14:textId="77777777" w:rsidR="0051408B" w:rsidRPr="0011362A" w:rsidRDefault="0051408B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A38" w14:textId="77777777" w:rsidR="00EC1449" w:rsidRPr="00EC1449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Bepalen van het ruwe celstofgehalte;</w:t>
            </w:r>
          </w:p>
          <w:p w14:paraId="67BBBA39" w14:textId="77777777" w:rsidR="0051408B" w:rsidRPr="0011362A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gravimetrisch</w:t>
            </w:r>
            <w:proofErr w:type="spellEnd"/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BBA3A" w14:textId="77777777" w:rsidR="0051408B" w:rsidRPr="0051408B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EG 152/2009,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</w: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bijlage III, deel I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A3B" w14:textId="77777777" w:rsidR="0051408B" w:rsidRPr="0051408B" w:rsidRDefault="0051408B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A3C" w14:textId="77777777" w:rsidR="0051408B" w:rsidRPr="0051408B" w:rsidRDefault="00957F43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784098" w14:paraId="67BBBA44" w14:textId="77777777" w:rsidTr="00B93165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BBA3E" w14:textId="77777777" w:rsidR="0051408B" w:rsidRPr="0051408B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SOP A0732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A3F" w14:textId="77777777" w:rsidR="0051408B" w:rsidRPr="0011362A" w:rsidRDefault="0051408B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A40" w14:textId="77777777" w:rsidR="0051408B" w:rsidRPr="0011362A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Bepalen van het ruwe vetgehalte na zure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hydrolyse; </w:t>
            </w:r>
            <w:proofErr w:type="spellStart"/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gravimetrisch</w:t>
            </w:r>
            <w:proofErr w:type="spellEnd"/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BBA41" w14:textId="77777777" w:rsidR="0051408B" w:rsidRPr="0051408B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EG 152/2009,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</w: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bijlage III, deel H, </w:t>
            </w:r>
            <w:proofErr w:type="spellStart"/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meth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. </w:t>
            </w: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A42" w14:textId="77777777" w:rsidR="0051408B" w:rsidRPr="0051408B" w:rsidRDefault="0051408B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A43" w14:textId="77777777" w:rsidR="0051408B" w:rsidRPr="0051408B" w:rsidRDefault="00957F43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784098" w14:paraId="67BBBA4C" w14:textId="77777777" w:rsidTr="00B93165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BBA45" w14:textId="77777777" w:rsidR="0051408B" w:rsidRPr="0051408B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SOP A0731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A46" w14:textId="77777777" w:rsidR="0051408B" w:rsidRPr="0051408B" w:rsidRDefault="0051408B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A47" w14:textId="77777777" w:rsidR="00EC1449" w:rsidRPr="00EC1449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Het bepalen van het zetmeelgehalte;</w:t>
            </w:r>
          </w:p>
          <w:p w14:paraId="67BBBA48" w14:textId="77777777" w:rsidR="0051408B" w:rsidRPr="0011362A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polarimetrisch</w:t>
            </w:r>
            <w:proofErr w:type="spellEnd"/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BBA49" w14:textId="77777777" w:rsidR="0051408B" w:rsidRPr="0051408B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EG 152/2009,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br/>
            </w:r>
            <w:r w:rsidRPr="00EC144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bijlage III, deel L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A4A" w14:textId="77777777" w:rsidR="0051408B" w:rsidRPr="0051408B" w:rsidRDefault="0051408B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A4B" w14:textId="77777777" w:rsidR="0051408B" w:rsidRPr="0051408B" w:rsidRDefault="00957F43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x</w:t>
            </w:r>
          </w:p>
        </w:tc>
      </w:tr>
      <w:tr w:rsidR="00784098" w14:paraId="67BBBA53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4D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N0447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4E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Diervoeders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4F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Identificatie van dierlijke </w:t>
            </w:r>
            <w:proofErr w:type="spellStart"/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bestanddelen;Microscopie</w:t>
            </w:r>
            <w:proofErr w:type="spellEnd"/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50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(EC) 152/2009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51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52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A5A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54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N0421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55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Melk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56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Telling van het aantal somatische cellen; microscopie 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57" w14:textId="77777777" w:rsidR="0011362A" w:rsidRPr="0011362A" w:rsidRDefault="00957F43" w:rsidP="0011362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ISO 13336-1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58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59" w14:textId="77777777" w:rsidR="0011362A" w:rsidRPr="0011362A" w:rsidRDefault="00957F43" w:rsidP="001136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1136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A61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5B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MIC04-WV505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5C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Producten bestemd voor humane en dierlijke consumptie, primaire producten en omgevings-monsters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5D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Aantonen van Salmonella; grensreactie; screening ophoping en bevestiging met behulp van real-time PCR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5E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ophoping, screening, isolatie NEN-EN-ISO 6579-1 bevestiging, eigen methode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5F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60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784098" w14:paraId="67BBBA68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62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MIC04-WV114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63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Producten bestemd voor humane en dierlijke consumptie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64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Bepalen van het aantal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coagulase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positieve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Staphylococcen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bij 37 ˚C; gietplaatmethode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65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NEN-EN-ISO 6888-2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66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67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A6F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69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MIC04-WV102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6A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Slachtdieren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6B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Bepalen van het aeroob en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Enterobacteriaceae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kiemgetal van het karkasoppervlak; gietplaatmethode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6C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NEN-EN-ISO 4833-1 NEN-EN-ISO 21528-2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6D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6E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A76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70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MIC04-WV109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71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Vis,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schaal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- en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schelpdieren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72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Bepalen van het aantal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Escherichia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coli; MPN techniek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73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NEN-EN-ISO 16649-3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74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75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A7D" w14:textId="77777777" w:rsidTr="00496684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77" w14:textId="77777777" w:rsidR="0051408B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MIC04-WV101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78" w14:textId="77777777" w:rsidR="0051408B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Producten bestemd voor humane en dierlijke consumptie en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omgevings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monsters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79" w14:textId="77777777" w:rsidR="0051408B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Bepalen van het aeroob kiemgetal bij 30°C; gietplaatmethode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7A" w14:textId="77777777" w:rsidR="0051408B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NEN-EN-ISO 4833-1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7B" w14:textId="77777777" w:rsidR="0051408B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7C" w14:textId="77777777" w:rsidR="0051408B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A84" w14:textId="77777777" w:rsidTr="00496684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7E" w14:textId="77777777" w:rsidR="0051408B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MIC04-WV106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7F" w14:textId="77777777" w:rsidR="0051408B" w:rsidRPr="00FE2DD7" w:rsidRDefault="0051408B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80" w14:textId="77777777" w:rsidR="0051408B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Bepalen van het aantal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Enterobacteriaceae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bij 37°C; gietplaatmethode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81" w14:textId="77777777" w:rsidR="0051408B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NEN-EN-ISO 21528-2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82" w14:textId="77777777" w:rsidR="0051408B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83" w14:textId="77777777" w:rsidR="0051408B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784098" w14:paraId="67BBBA8B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85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MIC04-WV500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86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Producten bestemd voor humane consumptie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87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Aantonen van Listeria monocytogenes; grensreactie Bevestiging; MALDI-TOF 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88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isolatie NEN-EN-ISO 11290-1 bevestiging Microval 2017LR75 en AOAC-OMA 2017.010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89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8A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784098" w14:paraId="67BBBA92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8C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MIC04-WV107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8D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Producten bestemd voor humane en dierlijke consumptie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8E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Bepalen van het aantal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Escherichia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coli; gietplaatmethode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8F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NEN-ISO 16649-2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90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91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A99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93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MIC04-WV112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94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Producten bestemd voor humane consumptie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95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Bepalen van het aantal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Clostridium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perfringens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; gietplaatmethode Bevestiging: MALDI-TOF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96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isolatie NEN-EN-ISO 7937 bevestiging eigen methode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97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98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AA0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9A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MIC04-WV111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9B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Producten bestemd voor humane en dierlijke consumptie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9C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Bepalen van het aantal Bacillus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cereus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; spatelplaatmethode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9D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NEN-EN-ISO 7932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9E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9F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AA7" w14:textId="77777777" w:rsidTr="00285605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A1" w14:textId="77777777" w:rsidR="0051408B" w:rsidRPr="00FE2DD7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lastRenderedPageBreak/>
              <w:t>MIC04-WV123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A2" w14:textId="77777777" w:rsidR="0051408B" w:rsidRPr="00FE2DD7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Producten bestemd voor humane consumptie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A3" w14:textId="77777777" w:rsidR="0051408B" w:rsidRPr="00FE2DD7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Bepalen van het aantal Listeria monocytogenes; spatelplaatmethode Bevestiging; MALDI-TOF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A4" w14:textId="77777777" w:rsidR="0051408B" w:rsidRPr="00FE2DD7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isolatie NEN-EN-ISO 11290-2 bevestiging Microval 2017LR75 en AOAC-OMA 2017.010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A5" w14:textId="77777777" w:rsidR="0051408B" w:rsidRPr="00FE2DD7" w:rsidRDefault="00957F43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A6" w14:textId="77777777" w:rsidR="0051408B" w:rsidRPr="00FE2DD7" w:rsidRDefault="00957F43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784098" w14:paraId="67BBBAAE" w14:textId="77777777" w:rsidTr="00285605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A8" w14:textId="77777777" w:rsidR="0051408B" w:rsidRPr="00FE2DD7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MIC04-WV501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AA9" w14:textId="77777777" w:rsidR="0051408B" w:rsidRPr="00FE2DD7" w:rsidRDefault="0051408B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AA" w14:textId="77777777" w:rsidR="0051408B" w:rsidRPr="00FE2DD7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Aantonen van Campylobacter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spp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.; grensreactie Bevestiging; MALDI-TOF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AB" w14:textId="77777777" w:rsidR="0051408B" w:rsidRPr="00FE2DD7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isolatie NEN-EN-ISO 10272 bevestiging Microval 2017LR74 en AOAC-OMA 2017.09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AC" w14:textId="77777777" w:rsidR="0051408B" w:rsidRPr="00FE2DD7" w:rsidRDefault="00957F43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AD" w14:textId="77777777" w:rsidR="0051408B" w:rsidRPr="00FE2DD7" w:rsidRDefault="00957F43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AB5" w14:textId="77777777" w:rsidTr="00285605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AF" w14:textId="77777777" w:rsidR="0051408B" w:rsidRPr="00FE2DD7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MIC04-WV137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AB0" w14:textId="77777777" w:rsidR="0051408B" w:rsidRPr="00FE2DD7" w:rsidRDefault="0051408B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B1" w14:textId="77777777" w:rsidR="0051408B" w:rsidRPr="00FE2DD7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Bepalen van het aantal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Enterobacteriaceae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bij 35°C gedurende 24 uur: TEMPO EB, geautomatiseerde MPN techniek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B2" w14:textId="77777777" w:rsidR="0051408B" w:rsidRPr="00FE2DD7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NEN-ISO 21528-2 (AFNOR BIO 12/21-12/06)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B3" w14:textId="77777777" w:rsidR="0051408B" w:rsidRPr="00FE2DD7" w:rsidRDefault="00957F43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B4" w14:textId="77777777" w:rsidR="0051408B" w:rsidRPr="00FE2DD7" w:rsidRDefault="00957F43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784098" w14:paraId="67BBBABC" w14:textId="77777777" w:rsidTr="00285605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B6" w14:textId="77777777" w:rsidR="0051408B" w:rsidRPr="00FE2DD7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MIC04-WV137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B7" w14:textId="77777777" w:rsidR="0051408B" w:rsidRPr="00FE2DD7" w:rsidRDefault="0051408B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B8" w14:textId="77777777" w:rsidR="0051408B" w:rsidRPr="00FE2DD7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Bepalen van het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aëroob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kiemgetal bij 30°C gedurende 48 uur: TEMPO AC, geautomatiseerde MPN techniek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B9" w14:textId="77777777" w:rsidR="0051408B" w:rsidRPr="00FE2DD7" w:rsidRDefault="00957F43" w:rsidP="00EC1449">
            <w:pPr>
              <w:keepNext/>
              <w:keepLine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NEN-EN-ISO 4833-1 (AFNOR BIO 12/35-05/13)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BA" w14:textId="77777777" w:rsidR="0051408B" w:rsidRPr="00FE2DD7" w:rsidRDefault="00957F43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BB" w14:textId="77777777" w:rsidR="0051408B" w:rsidRPr="00FE2DD7" w:rsidRDefault="00957F43" w:rsidP="00EC1449">
            <w:pPr>
              <w:keepNext/>
              <w:keepLine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784098" w14:paraId="67BBBAC3" w14:textId="77777777" w:rsidTr="00285605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BD" w14:textId="77777777" w:rsidR="0051408B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MIC04-WV516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BE" w14:textId="77777777" w:rsidR="0051408B" w:rsidRPr="00FE2DD7" w:rsidRDefault="0051408B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BF" w14:textId="77777777" w:rsidR="0051408B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Aantonen van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Staphylococcen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enterotoxinen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; dialyse concentraties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C0" w14:textId="77777777" w:rsidR="0051408B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NEN-EN-ISO 19020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C1" w14:textId="77777777" w:rsidR="0051408B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C2" w14:textId="77777777" w:rsidR="0051408B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ACA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C4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MIC04-WV006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C5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Isolaten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 van Escherichia coli, Salmonella,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Enterococcen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 en Campylobacter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C6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Bepalen van de antibioticagevoeligheid; VIZION-systeem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C7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 20776-1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C8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C9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784098" w14:paraId="67BBBAD1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CB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MIC04-WV525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CC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Vlees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 en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vleesproducten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CD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Aantonen van ESBL-producerende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Escherichia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coli; grensreactie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CE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Protocol Fresh Meat EURL-AR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CF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D0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784098" w14:paraId="67BBBAD8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D2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TYP01-WV029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D3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Isolaten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D4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Serotypering van Salmonella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isolaten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met behulp van de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Check&amp;Trace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methode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D5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AOAC certificaat 121001 OIE certificaat 20110106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D6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D7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ADF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D9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MIC04-WV508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DA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Vis,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schaal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- en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schelpdieren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DB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Aantonen van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Vibrio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parahaemolyticus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Vibrio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vulnificus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en/of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Vibrio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cholerae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; grensreactie Bevestiging; MALDI-TOF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DC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isolatie ISO 21872-1 bevestiging eigen methode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DD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DE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784098" w14:paraId="67BBBAE6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E0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MIC04-WV511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E1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Vlees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 xml:space="preserve"> en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omgevingsmonsters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E2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Aantonen van de aanwezigheid van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meticillineresistente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Staphylococcus aureus (MRSA); grensreactie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E3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Protocol EURL-AR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E4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E5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AED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E7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MIC04-WV150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E8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Voedsel, diervoeders en veterinaire monsters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E9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Bepalen van het aantal kweekbare thermotolerante Campylobacter </w:t>
            </w:r>
            <w:proofErr w:type="spellStart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spp</w:t>
            </w:r>
            <w:proofErr w:type="spellEnd"/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 bij 41,5 °C; spatelplaatmethode Bevestiging; MALDI-TOF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BAEA" w14:textId="77777777" w:rsidR="00FE2DD7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isolatie ISO 10272-2 bevestiging Microval 2017LR74 en AOAC-OMA 2017.09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EB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BAEC" w14:textId="77777777" w:rsidR="00FE2DD7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FE2DD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84098" w14:paraId="67BBBAF8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BBAEE" w14:textId="77777777" w:rsidR="00AE37B6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E37B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A1401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AEF" w14:textId="77777777" w:rsidR="00AE37B6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AE37B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Hennepplant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softHyphen/>
            </w:r>
            <w:r w:rsidRPr="00AE37B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producten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AF0" w14:textId="77777777" w:rsidR="00232BEE" w:rsidRPr="00232BEE" w:rsidRDefault="00957F43" w:rsidP="00232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32BE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Het bepalen van het totaal aantal</w:t>
            </w:r>
          </w:p>
          <w:p w14:paraId="67BBBAF1" w14:textId="77777777" w:rsidR="00232BEE" w:rsidRPr="00232BEE" w:rsidRDefault="00957F43" w:rsidP="00232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32BE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schimmels en gisten bij 22,5 °C,</w:t>
            </w:r>
          </w:p>
          <w:p w14:paraId="67BBBAF2" w14:textId="77777777" w:rsidR="00AE37B6" w:rsidRPr="00FE2DD7" w:rsidRDefault="00957F43" w:rsidP="00232BE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32BE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spatelplaatmethode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BBAF3" w14:textId="77777777" w:rsidR="00804737" w:rsidRPr="00804737" w:rsidRDefault="00957F43" w:rsidP="0080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8047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Pharamacopeia</w:t>
            </w:r>
            <w:proofErr w:type="spellEnd"/>
            <w:r w:rsidRPr="008047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:</w:t>
            </w:r>
          </w:p>
          <w:p w14:paraId="67BBBAF4" w14:textId="77777777" w:rsidR="00804737" w:rsidRPr="00804737" w:rsidRDefault="00957F43" w:rsidP="0080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047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20612E: §4-5-1, §5-2-2-1 en</w:t>
            </w:r>
          </w:p>
          <w:p w14:paraId="67BBBAF5" w14:textId="77777777" w:rsidR="00AE37B6" w:rsidRPr="00FE2DD7" w:rsidRDefault="00957F43" w:rsidP="0080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047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§5-2-2-2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AF6" w14:textId="77777777" w:rsidR="00AE37B6" w:rsidRPr="00FE2DD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AF7" w14:textId="77777777" w:rsidR="00AE37B6" w:rsidRPr="00FE2DD7" w:rsidRDefault="00AE37B6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784098" w14:paraId="67BBBB02" w14:textId="77777777" w:rsidTr="00EC39F3">
        <w:trPr>
          <w:trHeight w:val="288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BBAF9" w14:textId="77777777" w:rsidR="00AE37B6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E37B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SOP A140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AFA" w14:textId="77777777" w:rsidR="00AE37B6" w:rsidRPr="00FE2DD7" w:rsidRDefault="00957F43" w:rsidP="00FE2D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AE37B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Hennepplant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softHyphen/>
            </w:r>
            <w:r w:rsidRPr="00AE37B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producten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AFB" w14:textId="77777777" w:rsidR="000547F7" w:rsidRPr="000547F7" w:rsidRDefault="00957F43" w:rsidP="00054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547F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Het bepalen van het totaal aeroob</w:t>
            </w:r>
          </w:p>
          <w:p w14:paraId="67BBBAFC" w14:textId="77777777" w:rsidR="00AE37B6" w:rsidRPr="00FE2DD7" w:rsidRDefault="00957F43" w:rsidP="000547F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547F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kiemgetal en het bepalen van het aantal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0547F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Staphylococcus aureus bij 32,5 °C,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0547F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spatelplaatmethode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BBAFD" w14:textId="77777777" w:rsidR="00804737" w:rsidRPr="00804737" w:rsidRDefault="00957F43" w:rsidP="0080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8047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Pharamacopeia</w:t>
            </w:r>
            <w:proofErr w:type="spellEnd"/>
            <w:r w:rsidRPr="008047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:</w:t>
            </w:r>
          </w:p>
          <w:p w14:paraId="67BBBAFE" w14:textId="77777777" w:rsidR="00804737" w:rsidRPr="00804737" w:rsidRDefault="00957F43" w:rsidP="0080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047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20613E: §4-5-1, §4-5-2</w:t>
            </w:r>
          </w:p>
          <w:p w14:paraId="67BBBAFF" w14:textId="77777777" w:rsidR="00AE37B6" w:rsidRPr="00FE2DD7" w:rsidRDefault="00957F43" w:rsidP="0080473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0473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20612E: §4-5-1, §5-2-2-1 en §5-2-2-2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B00" w14:textId="77777777" w:rsidR="00AE37B6" w:rsidRPr="000547F7" w:rsidRDefault="00957F43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BB01" w14:textId="77777777" w:rsidR="00AE37B6" w:rsidRPr="000547F7" w:rsidRDefault="00AE37B6" w:rsidP="00FE2D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67BBBB03" w14:textId="77777777" w:rsidR="002E2226" w:rsidRPr="00AE7956" w:rsidRDefault="002E2226" w:rsidP="002E2226">
      <w:pPr>
        <w:spacing w:after="160"/>
      </w:pPr>
    </w:p>
    <w:sectPr w:rsidR="002E2226" w:rsidRPr="00AE7956" w:rsidSect="005D3A14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BB16" w14:textId="77777777" w:rsidR="00FC4138" w:rsidRDefault="00957F43">
      <w:pPr>
        <w:spacing w:after="0" w:line="240" w:lineRule="auto"/>
      </w:pPr>
      <w:r>
        <w:separator/>
      </w:r>
    </w:p>
  </w:endnote>
  <w:endnote w:type="continuationSeparator" w:id="0">
    <w:p w14:paraId="67BBBB18" w14:textId="77777777" w:rsidR="00FC4138" w:rsidRDefault="0095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8" w:space="0" w:color="34B233"/>
      </w:tblBorders>
      <w:tblLook w:val="01E0" w:firstRow="1" w:lastRow="1" w:firstColumn="1" w:lastColumn="1" w:noHBand="0" w:noVBand="0"/>
    </w:tblPr>
    <w:tblGrid>
      <w:gridCol w:w="5751"/>
      <w:gridCol w:w="3211"/>
    </w:tblGrid>
    <w:tr w:rsidR="00784098" w14:paraId="67BBBB0F" w14:textId="77777777" w:rsidTr="002C760C">
      <w:tc>
        <w:tcPr>
          <w:tcW w:w="6360" w:type="dxa"/>
          <w:shd w:val="clear" w:color="auto" w:fill="auto"/>
        </w:tcPr>
        <w:p w14:paraId="67BBBB0D" w14:textId="77777777" w:rsidR="00997E26" w:rsidRPr="00974854" w:rsidRDefault="00957F43" w:rsidP="004A2807">
          <w:pPr>
            <w:rPr>
              <w:rFonts w:asciiTheme="minorHAnsi" w:hAnsiTheme="minorHAnsi" w:cstheme="minorHAnsi"/>
              <w:szCs w:val="17"/>
              <w:lang w:eastAsia="nl-NL"/>
            </w:rPr>
          </w:pPr>
          <w:r w:rsidRPr="00974854">
            <w:rPr>
              <w:rFonts w:asciiTheme="minorHAnsi" w:hAnsiTheme="minorHAnsi" w:cstheme="minorHAnsi"/>
              <w:snapToGrid w:val="0"/>
              <w:szCs w:val="17"/>
              <w:lang w:val="en-GB"/>
            </w:rPr>
            <w:t>WFSR Wageningen University &amp; Research</w:t>
          </w:r>
        </w:p>
      </w:tc>
      <w:tc>
        <w:tcPr>
          <w:tcW w:w="3540" w:type="dxa"/>
          <w:shd w:val="clear" w:color="auto" w:fill="auto"/>
        </w:tcPr>
        <w:p w14:paraId="67BBBB0E" w14:textId="77777777" w:rsidR="00997E26" w:rsidRPr="00974854" w:rsidRDefault="00957F43" w:rsidP="004A2807">
          <w:pPr>
            <w:pStyle w:val="Footer"/>
            <w:jc w:val="right"/>
            <w:rPr>
              <w:rFonts w:asciiTheme="minorHAnsi" w:eastAsia="PMingLiU" w:hAnsiTheme="minorHAnsi" w:cstheme="minorHAnsi"/>
              <w:i/>
              <w:szCs w:val="17"/>
            </w:rPr>
          </w:pPr>
          <w:r w:rsidRPr="00974854">
            <w:rPr>
              <w:rFonts w:asciiTheme="minorHAnsi" w:eastAsia="PMingLiU" w:hAnsiTheme="minorHAnsi" w:cstheme="minorHAnsi"/>
              <w:i/>
              <w:szCs w:val="17"/>
            </w:rPr>
            <w:t xml:space="preserve">pagina </w:t>
          </w:r>
          <w:r w:rsidRPr="00974854">
            <w:rPr>
              <w:rStyle w:val="PageNumber"/>
              <w:rFonts w:asciiTheme="minorHAnsi" w:eastAsia="PMingLiU" w:hAnsiTheme="minorHAnsi" w:cstheme="minorHAnsi"/>
              <w:i/>
              <w:szCs w:val="17"/>
            </w:rPr>
            <w:fldChar w:fldCharType="begin"/>
          </w:r>
          <w:r w:rsidRPr="00974854">
            <w:rPr>
              <w:rStyle w:val="PageNumber"/>
              <w:rFonts w:asciiTheme="minorHAnsi" w:eastAsia="PMingLiU" w:hAnsiTheme="minorHAnsi" w:cstheme="minorHAnsi"/>
              <w:i/>
              <w:szCs w:val="17"/>
            </w:rPr>
            <w:instrText xml:space="preserve"> PAGE </w:instrText>
          </w:r>
          <w:r w:rsidRPr="00974854">
            <w:rPr>
              <w:rStyle w:val="PageNumber"/>
              <w:rFonts w:asciiTheme="minorHAnsi" w:eastAsia="PMingLiU" w:hAnsiTheme="minorHAnsi" w:cstheme="minorHAnsi"/>
              <w:i/>
              <w:szCs w:val="17"/>
            </w:rPr>
            <w:fldChar w:fldCharType="separate"/>
          </w:r>
          <w:r w:rsidRPr="00974854">
            <w:rPr>
              <w:rStyle w:val="PageNumber"/>
              <w:rFonts w:asciiTheme="minorHAnsi" w:eastAsia="PMingLiU" w:hAnsiTheme="minorHAnsi" w:cstheme="minorHAnsi"/>
              <w:i/>
              <w:szCs w:val="17"/>
            </w:rPr>
            <w:t>3</w:t>
          </w:r>
          <w:r w:rsidRPr="00974854">
            <w:rPr>
              <w:rStyle w:val="PageNumber"/>
              <w:rFonts w:asciiTheme="minorHAnsi" w:eastAsia="PMingLiU" w:hAnsiTheme="minorHAnsi" w:cstheme="minorHAnsi"/>
              <w:i/>
              <w:szCs w:val="17"/>
            </w:rPr>
            <w:fldChar w:fldCharType="end"/>
          </w:r>
          <w:r w:rsidRPr="00974854">
            <w:rPr>
              <w:rStyle w:val="PageNumber"/>
              <w:rFonts w:asciiTheme="minorHAnsi" w:eastAsia="PMingLiU" w:hAnsiTheme="minorHAnsi" w:cstheme="minorHAnsi"/>
              <w:i/>
              <w:szCs w:val="17"/>
            </w:rPr>
            <w:t xml:space="preserve"> van </w:t>
          </w:r>
          <w:r w:rsidRPr="00974854">
            <w:rPr>
              <w:rStyle w:val="PageNumber"/>
              <w:rFonts w:asciiTheme="minorHAnsi" w:eastAsia="PMingLiU" w:hAnsiTheme="minorHAnsi" w:cstheme="minorHAnsi"/>
              <w:i/>
              <w:szCs w:val="17"/>
            </w:rPr>
            <w:fldChar w:fldCharType="begin"/>
          </w:r>
          <w:r w:rsidRPr="00974854">
            <w:rPr>
              <w:rStyle w:val="PageNumber"/>
              <w:rFonts w:asciiTheme="minorHAnsi" w:eastAsia="PMingLiU" w:hAnsiTheme="minorHAnsi" w:cstheme="minorHAnsi"/>
              <w:i/>
              <w:szCs w:val="17"/>
            </w:rPr>
            <w:instrText xml:space="preserve"> NUMPAGES </w:instrText>
          </w:r>
          <w:r w:rsidRPr="00974854">
            <w:rPr>
              <w:rStyle w:val="PageNumber"/>
              <w:rFonts w:asciiTheme="minorHAnsi" w:eastAsia="PMingLiU" w:hAnsiTheme="minorHAnsi" w:cstheme="minorHAnsi"/>
              <w:i/>
              <w:szCs w:val="17"/>
            </w:rPr>
            <w:fldChar w:fldCharType="separate"/>
          </w:r>
          <w:r w:rsidRPr="00974854">
            <w:rPr>
              <w:rStyle w:val="PageNumber"/>
              <w:rFonts w:asciiTheme="minorHAnsi" w:eastAsia="PMingLiU" w:hAnsiTheme="minorHAnsi" w:cstheme="minorHAnsi"/>
              <w:i/>
              <w:szCs w:val="17"/>
            </w:rPr>
            <w:t>3</w:t>
          </w:r>
          <w:r w:rsidRPr="00974854">
            <w:rPr>
              <w:rStyle w:val="PageNumber"/>
              <w:rFonts w:asciiTheme="minorHAnsi" w:eastAsia="PMingLiU" w:hAnsiTheme="minorHAnsi" w:cstheme="minorHAnsi"/>
              <w:i/>
              <w:szCs w:val="17"/>
            </w:rPr>
            <w:fldChar w:fldCharType="end"/>
          </w:r>
        </w:p>
      </w:tc>
    </w:tr>
  </w:tbl>
  <w:p w14:paraId="67BBBB10" w14:textId="77777777" w:rsidR="00997E26" w:rsidRDefault="00997E26">
    <w:pPr>
      <w:pStyle w:val="Footer"/>
    </w:pPr>
  </w:p>
  <w:p w14:paraId="67BBBB11" w14:textId="77777777" w:rsidR="00997E26" w:rsidRDefault="00997E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BB12" w14:textId="77777777" w:rsidR="00FC4138" w:rsidRDefault="00957F43">
      <w:pPr>
        <w:spacing w:after="0" w:line="240" w:lineRule="auto"/>
      </w:pPr>
      <w:r>
        <w:separator/>
      </w:r>
    </w:p>
  </w:footnote>
  <w:footnote w:type="continuationSeparator" w:id="0">
    <w:p w14:paraId="67BBBB14" w14:textId="77777777" w:rsidR="00FC4138" w:rsidRDefault="00957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bottom w:val="single" w:sz="8" w:space="0" w:color="34B233"/>
      </w:tblBorders>
      <w:tblLayout w:type="fixed"/>
      <w:tblLook w:val="01E0" w:firstRow="1" w:lastRow="1" w:firstColumn="1" w:lastColumn="1" w:noHBand="0" w:noVBand="0"/>
    </w:tblPr>
    <w:tblGrid>
      <w:gridCol w:w="4500"/>
      <w:gridCol w:w="2520"/>
      <w:gridCol w:w="2880"/>
    </w:tblGrid>
    <w:tr w:rsidR="00784098" w14:paraId="67BBBB0B" w14:textId="77777777" w:rsidTr="0051408B">
      <w:trPr>
        <w:trHeight w:val="900"/>
      </w:trPr>
      <w:tc>
        <w:tcPr>
          <w:tcW w:w="4500" w:type="dxa"/>
          <w:shd w:val="clear" w:color="auto" w:fill="auto"/>
        </w:tcPr>
        <w:p w14:paraId="67BBBB04" w14:textId="77777777" w:rsidR="00997E26" w:rsidRPr="00E31AF1" w:rsidRDefault="00957F43" w:rsidP="004A2807">
          <w:pPr>
            <w:pStyle w:val="Header"/>
            <w:tabs>
              <w:tab w:val="center" w:pos="3720"/>
              <w:tab w:val="left" w:pos="5640"/>
            </w:tabs>
            <w:rPr>
              <w:rFonts w:ascii="Arial" w:eastAsia="PMingLiU" w:hAnsi="Arial" w:cs="Arial"/>
              <w:i/>
              <w:lang w:val="en-US"/>
            </w:rPr>
          </w:pPr>
          <w:r>
            <w:rPr>
              <w:rFonts w:ascii="Arial" w:eastAsia="PMingLiU" w:hAnsi="Arial" w:cs="Arial"/>
              <w:i/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7BBBB12" wp14:editId="67BBBB13">
                <wp:simplePos x="0" y="0"/>
                <wp:positionH relativeFrom="margin">
                  <wp:posOffset>-2540</wp:posOffset>
                </wp:positionH>
                <wp:positionV relativeFrom="margin">
                  <wp:posOffset>2804</wp:posOffset>
                </wp:positionV>
                <wp:extent cx="2496185" cy="482600"/>
                <wp:effectExtent l="0" t="0" r="0" b="0"/>
                <wp:wrapSquare wrapText="bothSides"/>
                <wp:docPr id="2" name="Picture 1" descr="Wageningen University and Resear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6748441" name="Picture 1" descr="Wageningen University and Resear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870" b="150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618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20" w:type="dxa"/>
          <w:shd w:val="clear" w:color="auto" w:fill="auto"/>
        </w:tcPr>
        <w:p w14:paraId="67BBBB05" w14:textId="77777777" w:rsidR="00997E26" w:rsidRPr="00E31AF1" w:rsidRDefault="00957F43" w:rsidP="0051408B">
          <w:pPr>
            <w:pStyle w:val="Header"/>
            <w:tabs>
              <w:tab w:val="center" w:pos="3720"/>
              <w:tab w:val="left" w:pos="5640"/>
            </w:tabs>
            <w:spacing w:line="276" w:lineRule="auto"/>
            <w:jc w:val="right"/>
            <w:rPr>
              <w:rFonts w:ascii="Arial" w:eastAsia="PMingLiU" w:hAnsi="Arial" w:cs="Arial"/>
              <w:i/>
              <w:lang w:val="en-US"/>
            </w:rPr>
          </w:pPr>
          <w:proofErr w:type="spellStart"/>
          <w:r w:rsidRPr="00E31AF1">
            <w:rPr>
              <w:rFonts w:ascii="Arial" w:eastAsia="PMingLiU" w:hAnsi="Arial" w:cs="Arial"/>
              <w:i/>
              <w:lang w:val="en-US"/>
            </w:rPr>
            <w:t>Documentcode</w:t>
          </w:r>
          <w:proofErr w:type="spellEnd"/>
        </w:p>
        <w:p w14:paraId="67BBBB06" w14:textId="77777777" w:rsidR="00997E26" w:rsidRPr="00E31AF1" w:rsidRDefault="00957F43" w:rsidP="0051408B">
          <w:pPr>
            <w:pStyle w:val="Header"/>
            <w:tabs>
              <w:tab w:val="center" w:pos="3720"/>
              <w:tab w:val="left" w:pos="5640"/>
            </w:tabs>
            <w:spacing w:line="276" w:lineRule="auto"/>
            <w:jc w:val="right"/>
            <w:rPr>
              <w:rFonts w:ascii="Arial" w:eastAsia="PMingLiU" w:hAnsi="Arial" w:cs="Arial"/>
              <w:i/>
              <w:lang w:val="en-US"/>
            </w:rPr>
          </w:pPr>
          <w:proofErr w:type="spellStart"/>
          <w:r w:rsidRPr="00E31AF1">
            <w:rPr>
              <w:rFonts w:ascii="Arial" w:eastAsia="PMingLiU" w:hAnsi="Arial" w:cs="Arial"/>
              <w:i/>
              <w:lang w:val="en-US"/>
            </w:rPr>
            <w:t>Versienummer</w:t>
          </w:r>
          <w:proofErr w:type="spellEnd"/>
        </w:p>
        <w:p w14:paraId="67BBBB07" w14:textId="77777777" w:rsidR="00997E26" w:rsidRPr="00E31AF1" w:rsidRDefault="00957F43" w:rsidP="0051408B">
          <w:pPr>
            <w:pStyle w:val="Header"/>
            <w:tabs>
              <w:tab w:val="center" w:pos="3720"/>
              <w:tab w:val="left" w:pos="5640"/>
            </w:tabs>
            <w:spacing w:line="276" w:lineRule="auto"/>
            <w:jc w:val="right"/>
            <w:rPr>
              <w:rFonts w:ascii="Arial" w:eastAsia="PMingLiU" w:hAnsi="Arial" w:cs="Arial"/>
              <w:i/>
              <w:lang w:val="en-US"/>
            </w:rPr>
          </w:pPr>
          <w:r w:rsidRPr="00E31AF1">
            <w:rPr>
              <w:rFonts w:ascii="Arial" w:eastAsia="PMingLiU" w:hAnsi="Arial" w:cs="Arial"/>
              <w:i/>
              <w:lang w:val="en-US"/>
            </w:rPr>
            <w:t xml:space="preserve">Datum </w:t>
          </w:r>
          <w:proofErr w:type="spellStart"/>
          <w:r w:rsidRPr="00E31AF1">
            <w:rPr>
              <w:rFonts w:ascii="Arial" w:eastAsia="PMingLiU" w:hAnsi="Arial" w:cs="Arial"/>
              <w:i/>
              <w:lang w:val="en-US"/>
            </w:rPr>
            <w:t>uitgifte</w:t>
          </w:r>
          <w:proofErr w:type="spellEnd"/>
        </w:p>
      </w:tc>
      <w:tc>
        <w:tcPr>
          <w:tcW w:w="2880" w:type="dxa"/>
          <w:shd w:val="clear" w:color="auto" w:fill="auto"/>
        </w:tcPr>
        <w:p w14:paraId="67BBBB08" w14:textId="77777777" w:rsidR="00997E26" w:rsidRPr="00E31AF1" w:rsidRDefault="00957F43" w:rsidP="0051408B">
          <w:pPr>
            <w:pStyle w:val="Header"/>
            <w:tabs>
              <w:tab w:val="left" w:pos="5640"/>
            </w:tabs>
            <w:spacing w:line="276" w:lineRule="auto"/>
            <w:rPr>
              <w:rFonts w:ascii="Arial" w:eastAsia="PMingLiU" w:hAnsi="Arial" w:cs="Arial"/>
              <w:i/>
              <w:lang w:val="en-US"/>
            </w:rPr>
          </w:pPr>
          <w:r w:rsidRPr="00E31AF1">
            <w:rPr>
              <w:rFonts w:ascii="Arial" w:eastAsia="PMingLiU" w:hAnsi="Arial" w:cs="Arial"/>
              <w:i/>
              <w:lang w:val="en-US"/>
            </w:rPr>
            <w:fldChar w:fldCharType="begin"/>
          </w:r>
          <w:r w:rsidRPr="00E31AF1">
            <w:rPr>
              <w:rFonts w:ascii="Arial" w:eastAsia="PMingLiU" w:hAnsi="Arial" w:cs="Arial"/>
              <w:i/>
              <w:lang w:val="en-US"/>
            </w:rPr>
            <w:instrText xml:space="preserve"> DOCPROPERTY  qolnumber  \* MERGEFORMAT </w:instrText>
          </w:r>
          <w:r w:rsidRPr="00E31AF1">
            <w:rPr>
              <w:rFonts w:ascii="Arial" w:eastAsia="PMingLiU" w:hAnsi="Arial" w:cs="Arial"/>
              <w:i/>
              <w:lang w:val="en-US"/>
            </w:rPr>
            <w:fldChar w:fldCharType="separate"/>
          </w:r>
          <w:r w:rsidRPr="00E31AF1">
            <w:rPr>
              <w:rFonts w:ascii="Arial" w:eastAsia="PMingLiU" w:hAnsi="Arial" w:cs="Arial"/>
              <w:i/>
              <w:lang w:val="en-US"/>
            </w:rPr>
            <w:t>L014-ref.methods</w:t>
          </w:r>
          <w:r w:rsidRPr="00E31AF1">
            <w:rPr>
              <w:rFonts w:ascii="Arial" w:eastAsia="PMingLiU" w:hAnsi="Arial" w:cs="Arial"/>
              <w:i/>
              <w:lang w:val="en-US"/>
            </w:rPr>
            <w:fldChar w:fldCharType="end"/>
          </w:r>
        </w:p>
        <w:p w14:paraId="67BBBB09" w14:textId="77777777" w:rsidR="00997E26" w:rsidRPr="00E31AF1" w:rsidRDefault="00957F43" w:rsidP="0051408B">
          <w:pPr>
            <w:pStyle w:val="Header"/>
            <w:tabs>
              <w:tab w:val="left" w:pos="5640"/>
            </w:tabs>
            <w:spacing w:line="276" w:lineRule="auto"/>
            <w:rPr>
              <w:rFonts w:ascii="Arial" w:eastAsia="PMingLiU" w:hAnsi="Arial" w:cs="Arial"/>
              <w:i/>
              <w:lang w:val="en-US"/>
            </w:rPr>
          </w:pPr>
          <w:r w:rsidRPr="00E31AF1">
            <w:rPr>
              <w:rFonts w:ascii="Arial" w:eastAsia="PMingLiU" w:hAnsi="Arial" w:cs="Arial"/>
              <w:i/>
              <w:lang w:val="en-US"/>
            </w:rPr>
            <w:fldChar w:fldCharType="begin"/>
          </w:r>
          <w:r w:rsidRPr="00E31AF1">
            <w:rPr>
              <w:rFonts w:ascii="Arial" w:eastAsia="PMingLiU" w:hAnsi="Arial" w:cs="Arial"/>
              <w:i/>
              <w:lang w:val="en-US"/>
            </w:rPr>
            <w:instrText xml:space="preserve"> DOCPROPERTY  qolissue  \* MERGEFORMAT </w:instrText>
          </w:r>
          <w:r w:rsidRPr="00E31AF1">
            <w:rPr>
              <w:rFonts w:ascii="Arial" w:eastAsia="PMingLiU" w:hAnsi="Arial" w:cs="Arial"/>
              <w:i/>
              <w:lang w:val="en-US"/>
            </w:rPr>
            <w:fldChar w:fldCharType="separate"/>
          </w:r>
          <w:r w:rsidRPr="00E31AF1">
            <w:rPr>
              <w:rFonts w:ascii="Arial" w:eastAsia="PMingLiU" w:hAnsi="Arial" w:cs="Arial"/>
              <w:i/>
              <w:lang w:val="en-US"/>
            </w:rPr>
            <w:t>2</w:t>
          </w:r>
          <w:r w:rsidRPr="00E31AF1">
            <w:rPr>
              <w:rFonts w:ascii="Arial" w:eastAsia="PMingLiU" w:hAnsi="Arial" w:cs="Arial"/>
              <w:i/>
              <w:lang w:val="en-US"/>
            </w:rPr>
            <w:fldChar w:fldCharType="end"/>
          </w:r>
        </w:p>
        <w:p w14:paraId="67BBBB0A" w14:textId="77777777" w:rsidR="00997E26" w:rsidRPr="00E31AF1" w:rsidRDefault="00957F43" w:rsidP="0051408B">
          <w:pPr>
            <w:pStyle w:val="Header"/>
            <w:tabs>
              <w:tab w:val="left" w:pos="5640"/>
            </w:tabs>
            <w:spacing w:line="276" w:lineRule="auto"/>
            <w:rPr>
              <w:rFonts w:ascii="Arial" w:eastAsia="PMingLiU" w:hAnsi="Arial" w:cs="Arial"/>
              <w:i/>
              <w:lang w:val="en-US"/>
            </w:rPr>
          </w:pPr>
          <w:r w:rsidRPr="00E31AF1">
            <w:rPr>
              <w:rFonts w:ascii="Arial" w:eastAsia="PMingLiU" w:hAnsi="Arial" w:cs="Arial"/>
              <w:i/>
              <w:lang w:val="en-US"/>
            </w:rPr>
            <w:fldChar w:fldCharType="begin"/>
          </w:r>
          <w:r w:rsidRPr="00E31AF1">
            <w:rPr>
              <w:rFonts w:ascii="Arial" w:eastAsia="PMingLiU" w:hAnsi="Arial" w:cs="Arial"/>
              <w:i/>
              <w:lang w:val="en-US"/>
            </w:rPr>
            <w:instrText xml:space="preserve"> DOCPROPERTY  qoldatereleased  \* MERGEFORMAT </w:instrText>
          </w:r>
          <w:r w:rsidRPr="00E31AF1">
            <w:rPr>
              <w:rFonts w:ascii="Arial" w:eastAsia="PMingLiU" w:hAnsi="Arial" w:cs="Arial"/>
              <w:i/>
              <w:lang w:val="en-US"/>
            </w:rPr>
            <w:fldChar w:fldCharType="separate"/>
          </w:r>
          <w:r w:rsidRPr="00E31AF1">
            <w:rPr>
              <w:rFonts w:ascii="Arial" w:eastAsia="PMingLiU" w:hAnsi="Arial" w:cs="Arial"/>
              <w:i/>
              <w:lang w:val="en-US"/>
            </w:rPr>
            <w:t>12-dec-2022</w:t>
          </w:r>
          <w:r w:rsidRPr="00E31AF1">
            <w:rPr>
              <w:rFonts w:ascii="Arial" w:eastAsia="PMingLiU" w:hAnsi="Arial" w:cs="Arial"/>
              <w:i/>
              <w:lang w:val="en-US"/>
            </w:rPr>
            <w:fldChar w:fldCharType="end"/>
          </w:r>
        </w:p>
      </w:tc>
    </w:tr>
  </w:tbl>
  <w:p w14:paraId="67BBBB0C" w14:textId="77777777" w:rsidR="00997E26" w:rsidRDefault="00997E26" w:rsidP="00B424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C9857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6B5074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EA452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multilevel"/>
    <w:tmpl w:val="97B0B71E"/>
    <w:lvl w:ilvl="0">
      <w:start w:val="1"/>
      <w:numFmt w:val="decimal"/>
      <w:pStyle w:val="ListNumber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pStyle w:val="Heading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482AE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C025B5"/>
    <w:multiLevelType w:val="hybridMultilevel"/>
    <w:tmpl w:val="8048EE54"/>
    <w:lvl w:ilvl="0" w:tplc="01487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A09A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96D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8D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FA27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E8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849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EF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324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93DE5"/>
    <w:multiLevelType w:val="hybridMultilevel"/>
    <w:tmpl w:val="8A8E0622"/>
    <w:lvl w:ilvl="0" w:tplc="B1629D7C">
      <w:start w:val="1"/>
      <w:numFmt w:val="decimal"/>
      <w:lvlText w:val="%1."/>
      <w:lvlJc w:val="left"/>
      <w:pPr>
        <w:ind w:left="1080" w:hanging="360"/>
      </w:pPr>
    </w:lvl>
    <w:lvl w:ilvl="1" w:tplc="46DAAF74">
      <w:start w:val="1"/>
      <w:numFmt w:val="lowerLetter"/>
      <w:lvlText w:val="%2."/>
      <w:lvlJc w:val="left"/>
      <w:pPr>
        <w:ind w:left="1800" w:hanging="360"/>
      </w:pPr>
    </w:lvl>
    <w:lvl w:ilvl="2" w:tplc="A8C88C2C" w:tentative="1">
      <w:start w:val="1"/>
      <w:numFmt w:val="lowerRoman"/>
      <w:lvlText w:val="%3."/>
      <w:lvlJc w:val="right"/>
      <w:pPr>
        <w:ind w:left="2520" w:hanging="180"/>
      </w:pPr>
    </w:lvl>
    <w:lvl w:ilvl="3" w:tplc="DDAE1A20" w:tentative="1">
      <w:start w:val="1"/>
      <w:numFmt w:val="decimal"/>
      <w:lvlText w:val="%4."/>
      <w:lvlJc w:val="left"/>
      <w:pPr>
        <w:ind w:left="3240" w:hanging="360"/>
      </w:pPr>
    </w:lvl>
    <w:lvl w:ilvl="4" w:tplc="B3C043AC" w:tentative="1">
      <w:start w:val="1"/>
      <w:numFmt w:val="lowerLetter"/>
      <w:lvlText w:val="%5."/>
      <w:lvlJc w:val="left"/>
      <w:pPr>
        <w:ind w:left="3960" w:hanging="360"/>
      </w:pPr>
    </w:lvl>
    <w:lvl w:ilvl="5" w:tplc="A9BC24BE" w:tentative="1">
      <w:start w:val="1"/>
      <w:numFmt w:val="lowerRoman"/>
      <w:lvlText w:val="%6."/>
      <w:lvlJc w:val="right"/>
      <w:pPr>
        <w:ind w:left="4680" w:hanging="180"/>
      </w:pPr>
    </w:lvl>
    <w:lvl w:ilvl="6" w:tplc="D370ED0A" w:tentative="1">
      <w:start w:val="1"/>
      <w:numFmt w:val="decimal"/>
      <w:lvlText w:val="%7."/>
      <w:lvlJc w:val="left"/>
      <w:pPr>
        <w:ind w:left="5400" w:hanging="360"/>
      </w:pPr>
    </w:lvl>
    <w:lvl w:ilvl="7" w:tplc="25904B50" w:tentative="1">
      <w:start w:val="1"/>
      <w:numFmt w:val="lowerLetter"/>
      <w:lvlText w:val="%8."/>
      <w:lvlJc w:val="left"/>
      <w:pPr>
        <w:ind w:left="6120" w:hanging="360"/>
      </w:pPr>
    </w:lvl>
    <w:lvl w:ilvl="8" w:tplc="D564F1C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1015C"/>
    <w:multiLevelType w:val="hybridMultilevel"/>
    <w:tmpl w:val="A5B208E6"/>
    <w:lvl w:ilvl="0" w:tplc="F1643C46">
      <w:start w:val="1"/>
      <w:numFmt w:val="decimal"/>
      <w:lvlText w:val="%1."/>
      <w:lvlJc w:val="left"/>
      <w:pPr>
        <w:ind w:left="1080" w:hanging="360"/>
      </w:pPr>
    </w:lvl>
    <w:lvl w:ilvl="1" w:tplc="9202DCC8">
      <w:start w:val="1"/>
      <w:numFmt w:val="decimal"/>
      <w:lvlText w:val="%2."/>
      <w:lvlJc w:val="left"/>
      <w:pPr>
        <w:ind w:left="1800" w:hanging="360"/>
      </w:pPr>
    </w:lvl>
    <w:lvl w:ilvl="2" w:tplc="945E7CE2" w:tentative="1">
      <w:start w:val="1"/>
      <w:numFmt w:val="lowerRoman"/>
      <w:lvlText w:val="%3."/>
      <w:lvlJc w:val="right"/>
      <w:pPr>
        <w:ind w:left="2520" w:hanging="180"/>
      </w:pPr>
    </w:lvl>
    <w:lvl w:ilvl="3" w:tplc="5F969158" w:tentative="1">
      <w:start w:val="1"/>
      <w:numFmt w:val="decimal"/>
      <w:lvlText w:val="%4."/>
      <w:lvlJc w:val="left"/>
      <w:pPr>
        <w:ind w:left="3240" w:hanging="360"/>
      </w:pPr>
    </w:lvl>
    <w:lvl w:ilvl="4" w:tplc="69AC45B6" w:tentative="1">
      <w:start w:val="1"/>
      <w:numFmt w:val="lowerLetter"/>
      <w:lvlText w:val="%5."/>
      <w:lvlJc w:val="left"/>
      <w:pPr>
        <w:ind w:left="3960" w:hanging="360"/>
      </w:pPr>
    </w:lvl>
    <w:lvl w:ilvl="5" w:tplc="B4E2D5A6" w:tentative="1">
      <w:start w:val="1"/>
      <w:numFmt w:val="lowerRoman"/>
      <w:lvlText w:val="%6."/>
      <w:lvlJc w:val="right"/>
      <w:pPr>
        <w:ind w:left="4680" w:hanging="180"/>
      </w:pPr>
    </w:lvl>
    <w:lvl w:ilvl="6" w:tplc="FE3A893A" w:tentative="1">
      <w:start w:val="1"/>
      <w:numFmt w:val="decimal"/>
      <w:lvlText w:val="%7."/>
      <w:lvlJc w:val="left"/>
      <w:pPr>
        <w:ind w:left="5400" w:hanging="360"/>
      </w:pPr>
    </w:lvl>
    <w:lvl w:ilvl="7" w:tplc="F26CCC60" w:tentative="1">
      <w:start w:val="1"/>
      <w:numFmt w:val="lowerLetter"/>
      <w:lvlText w:val="%8."/>
      <w:lvlJc w:val="left"/>
      <w:pPr>
        <w:ind w:left="6120" w:hanging="360"/>
      </w:pPr>
    </w:lvl>
    <w:lvl w:ilvl="8" w:tplc="0D3615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2F7BD4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DE3175"/>
    <w:multiLevelType w:val="hybridMultilevel"/>
    <w:tmpl w:val="14624F4E"/>
    <w:lvl w:ilvl="0" w:tplc="578607C2">
      <w:start w:val="1"/>
      <w:numFmt w:val="decimal"/>
      <w:lvlText w:val="%1."/>
      <w:lvlJc w:val="left"/>
      <w:pPr>
        <w:ind w:left="1080" w:hanging="360"/>
      </w:pPr>
    </w:lvl>
    <w:lvl w:ilvl="1" w:tplc="DDF6B4BC">
      <w:start w:val="1"/>
      <w:numFmt w:val="decimal"/>
      <w:lvlText w:val="%2)"/>
      <w:lvlJc w:val="left"/>
      <w:pPr>
        <w:ind w:left="1800" w:hanging="360"/>
      </w:pPr>
    </w:lvl>
    <w:lvl w:ilvl="2" w:tplc="156059E6" w:tentative="1">
      <w:start w:val="1"/>
      <w:numFmt w:val="lowerRoman"/>
      <w:lvlText w:val="%3."/>
      <w:lvlJc w:val="right"/>
      <w:pPr>
        <w:ind w:left="2520" w:hanging="180"/>
      </w:pPr>
    </w:lvl>
    <w:lvl w:ilvl="3" w:tplc="40A6771E" w:tentative="1">
      <w:start w:val="1"/>
      <w:numFmt w:val="decimal"/>
      <w:lvlText w:val="%4."/>
      <w:lvlJc w:val="left"/>
      <w:pPr>
        <w:ind w:left="3240" w:hanging="360"/>
      </w:pPr>
    </w:lvl>
    <w:lvl w:ilvl="4" w:tplc="318652F6" w:tentative="1">
      <w:start w:val="1"/>
      <w:numFmt w:val="lowerLetter"/>
      <w:lvlText w:val="%5."/>
      <w:lvlJc w:val="left"/>
      <w:pPr>
        <w:ind w:left="3960" w:hanging="360"/>
      </w:pPr>
    </w:lvl>
    <w:lvl w:ilvl="5" w:tplc="1F5A3654" w:tentative="1">
      <w:start w:val="1"/>
      <w:numFmt w:val="lowerRoman"/>
      <w:lvlText w:val="%6."/>
      <w:lvlJc w:val="right"/>
      <w:pPr>
        <w:ind w:left="4680" w:hanging="180"/>
      </w:pPr>
    </w:lvl>
    <w:lvl w:ilvl="6" w:tplc="BE70485E" w:tentative="1">
      <w:start w:val="1"/>
      <w:numFmt w:val="decimal"/>
      <w:lvlText w:val="%7."/>
      <w:lvlJc w:val="left"/>
      <w:pPr>
        <w:ind w:left="5400" w:hanging="360"/>
      </w:pPr>
    </w:lvl>
    <w:lvl w:ilvl="7" w:tplc="B8701792" w:tentative="1">
      <w:start w:val="1"/>
      <w:numFmt w:val="lowerLetter"/>
      <w:lvlText w:val="%8."/>
      <w:lvlJc w:val="left"/>
      <w:pPr>
        <w:ind w:left="6120" w:hanging="360"/>
      </w:pPr>
    </w:lvl>
    <w:lvl w:ilvl="8" w:tplc="923CA2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AE3702"/>
    <w:multiLevelType w:val="hybridMultilevel"/>
    <w:tmpl w:val="37205048"/>
    <w:lvl w:ilvl="0" w:tplc="A7DAFA26">
      <w:start w:val="1"/>
      <w:numFmt w:val="decimal"/>
      <w:lvlText w:val="%1."/>
      <w:lvlJc w:val="left"/>
      <w:pPr>
        <w:ind w:left="720" w:hanging="360"/>
      </w:pPr>
    </w:lvl>
    <w:lvl w:ilvl="1" w:tplc="093A3E12" w:tentative="1">
      <w:start w:val="1"/>
      <w:numFmt w:val="lowerLetter"/>
      <w:lvlText w:val="%2."/>
      <w:lvlJc w:val="left"/>
      <w:pPr>
        <w:ind w:left="1440" w:hanging="360"/>
      </w:pPr>
    </w:lvl>
    <w:lvl w:ilvl="2" w:tplc="B5FC0790" w:tentative="1">
      <w:start w:val="1"/>
      <w:numFmt w:val="lowerRoman"/>
      <w:lvlText w:val="%3."/>
      <w:lvlJc w:val="right"/>
      <w:pPr>
        <w:ind w:left="2160" w:hanging="180"/>
      </w:pPr>
    </w:lvl>
    <w:lvl w:ilvl="3" w:tplc="9FB21A36" w:tentative="1">
      <w:start w:val="1"/>
      <w:numFmt w:val="decimal"/>
      <w:lvlText w:val="%4."/>
      <w:lvlJc w:val="left"/>
      <w:pPr>
        <w:ind w:left="2880" w:hanging="360"/>
      </w:pPr>
    </w:lvl>
    <w:lvl w:ilvl="4" w:tplc="014C3DDC" w:tentative="1">
      <w:start w:val="1"/>
      <w:numFmt w:val="lowerLetter"/>
      <w:lvlText w:val="%5."/>
      <w:lvlJc w:val="left"/>
      <w:pPr>
        <w:ind w:left="3600" w:hanging="360"/>
      </w:pPr>
    </w:lvl>
    <w:lvl w:ilvl="5" w:tplc="7460FB5A" w:tentative="1">
      <w:start w:val="1"/>
      <w:numFmt w:val="lowerRoman"/>
      <w:lvlText w:val="%6."/>
      <w:lvlJc w:val="right"/>
      <w:pPr>
        <w:ind w:left="4320" w:hanging="180"/>
      </w:pPr>
    </w:lvl>
    <w:lvl w:ilvl="6" w:tplc="6D0CD0E0" w:tentative="1">
      <w:start w:val="1"/>
      <w:numFmt w:val="decimal"/>
      <w:lvlText w:val="%7."/>
      <w:lvlJc w:val="left"/>
      <w:pPr>
        <w:ind w:left="5040" w:hanging="360"/>
      </w:pPr>
    </w:lvl>
    <w:lvl w:ilvl="7" w:tplc="D5B8A7FA" w:tentative="1">
      <w:start w:val="1"/>
      <w:numFmt w:val="lowerLetter"/>
      <w:lvlText w:val="%8."/>
      <w:lvlJc w:val="left"/>
      <w:pPr>
        <w:ind w:left="5760" w:hanging="360"/>
      </w:pPr>
    </w:lvl>
    <w:lvl w:ilvl="8" w:tplc="CE6477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  <w:lvlOverride w:ilvl="0">
      <w:startOverride w:val="4"/>
    </w:lvlOverride>
    <w:lvlOverride w:ilvl="1">
      <w:startOverride w:val="1"/>
    </w:lvlOverride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3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807"/>
    <w:rsid w:val="00001127"/>
    <w:rsid w:val="000427D4"/>
    <w:rsid w:val="000547F7"/>
    <w:rsid w:val="000D22F5"/>
    <w:rsid w:val="0011362A"/>
    <w:rsid w:val="00150BDC"/>
    <w:rsid w:val="001E12B9"/>
    <w:rsid w:val="00201B55"/>
    <w:rsid w:val="002178F6"/>
    <w:rsid w:val="00232BEE"/>
    <w:rsid w:val="00236A46"/>
    <w:rsid w:val="00267165"/>
    <w:rsid w:val="00291BD9"/>
    <w:rsid w:val="002C760C"/>
    <w:rsid w:val="002E2226"/>
    <w:rsid w:val="003103A0"/>
    <w:rsid w:val="003416B0"/>
    <w:rsid w:val="00350C97"/>
    <w:rsid w:val="00353C7B"/>
    <w:rsid w:val="003B3192"/>
    <w:rsid w:val="003C2C7C"/>
    <w:rsid w:val="004338BD"/>
    <w:rsid w:val="0043639F"/>
    <w:rsid w:val="0046179A"/>
    <w:rsid w:val="00461EF7"/>
    <w:rsid w:val="004A2807"/>
    <w:rsid w:val="004D2C29"/>
    <w:rsid w:val="004D4FB5"/>
    <w:rsid w:val="00510130"/>
    <w:rsid w:val="0051408B"/>
    <w:rsid w:val="005C3816"/>
    <w:rsid w:val="005D3A14"/>
    <w:rsid w:val="00623404"/>
    <w:rsid w:val="00652573"/>
    <w:rsid w:val="006E469A"/>
    <w:rsid w:val="006F5138"/>
    <w:rsid w:val="0073441C"/>
    <w:rsid w:val="007431AE"/>
    <w:rsid w:val="00747D90"/>
    <w:rsid w:val="0076240C"/>
    <w:rsid w:val="0078341E"/>
    <w:rsid w:val="00784098"/>
    <w:rsid w:val="007A0A43"/>
    <w:rsid w:val="007D55E2"/>
    <w:rsid w:val="007E14EE"/>
    <w:rsid w:val="007E4CF4"/>
    <w:rsid w:val="0080250A"/>
    <w:rsid w:val="00804737"/>
    <w:rsid w:val="00852B69"/>
    <w:rsid w:val="00897B7A"/>
    <w:rsid w:val="00941335"/>
    <w:rsid w:val="00957E50"/>
    <w:rsid w:val="00957F43"/>
    <w:rsid w:val="009675E2"/>
    <w:rsid w:val="00974854"/>
    <w:rsid w:val="00983CA8"/>
    <w:rsid w:val="00997E26"/>
    <w:rsid w:val="009B30DE"/>
    <w:rsid w:val="00A16FFB"/>
    <w:rsid w:val="00A30EBD"/>
    <w:rsid w:val="00A63B74"/>
    <w:rsid w:val="00AA1F85"/>
    <w:rsid w:val="00AA6525"/>
    <w:rsid w:val="00AE37B6"/>
    <w:rsid w:val="00AE7956"/>
    <w:rsid w:val="00AE7B18"/>
    <w:rsid w:val="00AF61BE"/>
    <w:rsid w:val="00B27788"/>
    <w:rsid w:val="00B302F6"/>
    <w:rsid w:val="00B37DA7"/>
    <w:rsid w:val="00B4111E"/>
    <w:rsid w:val="00B424A7"/>
    <w:rsid w:val="00B65E57"/>
    <w:rsid w:val="00B77533"/>
    <w:rsid w:val="00B7770C"/>
    <w:rsid w:val="00B800EA"/>
    <w:rsid w:val="00B90FA9"/>
    <w:rsid w:val="00B9402F"/>
    <w:rsid w:val="00BC6479"/>
    <w:rsid w:val="00BD39AB"/>
    <w:rsid w:val="00BF1A84"/>
    <w:rsid w:val="00C07BE1"/>
    <w:rsid w:val="00C63B6E"/>
    <w:rsid w:val="00D21FDC"/>
    <w:rsid w:val="00D33D59"/>
    <w:rsid w:val="00DC2B07"/>
    <w:rsid w:val="00DC612F"/>
    <w:rsid w:val="00DE30D3"/>
    <w:rsid w:val="00DE460F"/>
    <w:rsid w:val="00E134B9"/>
    <w:rsid w:val="00E2639F"/>
    <w:rsid w:val="00E31AF1"/>
    <w:rsid w:val="00E429ED"/>
    <w:rsid w:val="00E60E83"/>
    <w:rsid w:val="00E7007B"/>
    <w:rsid w:val="00EA1588"/>
    <w:rsid w:val="00EC1449"/>
    <w:rsid w:val="00EC39F3"/>
    <w:rsid w:val="00EE0D20"/>
    <w:rsid w:val="00F2574D"/>
    <w:rsid w:val="00F5779B"/>
    <w:rsid w:val="00F85A69"/>
    <w:rsid w:val="00FA7969"/>
    <w:rsid w:val="00FB19ED"/>
    <w:rsid w:val="00FC4138"/>
    <w:rsid w:val="00FE05F8"/>
    <w:rsid w:val="00FE2DD7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B9AA"/>
  <w15:chartTrackingRefBased/>
  <w15:docId w15:val="{4E461362-BD5D-4A26-A9C3-46FFBA0A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50"/>
    <w:pPr>
      <w:spacing w:after="40"/>
    </w:pPr>
  </w:style>
  <w:style w:type="paragraph" w:styleId="Heading1">
    <w:name w:val="heading 1"/>
    <w:basedOn w:val="ListNumber"/>
    <w:next w:val="Normal"/>
    <w:link w:val="Heading1Char"/>
    <w:uiPriority w:val="9"/>
    <w:qFormat/>
    <w:rsid w:val="00957E50"/>
    <w:pPr>
      <w:keepNext/>
      <w:keepLines/>
      <w:spacing w:before="360" w:after="120"/>
      <w:outlineLvl w:val="0"/>
    </w:pPr>
    <w:rPr>
      <w:rFonts w:eastAsiaTheme="majorEastAsia" w:cstheme="majorBidi"/>
      <w:color w:val="34B233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E50"/>
    <w:pPr>
      <w:numPr>
        <w:ilvl w:val="1"/>
        <w:numId w:val="3"/>
      </w:numPr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00EA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24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01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01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807"/>
  </w:style>
  <w:style w:type="paragraph" w:styleId="Footer">
    <w:name w:val="footer"/>
    <w:basedOn w:val="Normal"/>
    <w:link w:val="FooterChar"/>
    <w:unhideWhenUsed/>
    <w:rsid w:val="004A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807"/>
  </w:style>
  <w:style w:type="paragraph" w:styleId="BalloonText">
    <w:name w:val="Balloon Text"/>
    <w:basedOn w:val="Normal"/>
    <w:link w:val="BalloonTextChar"/>
    <w:uiPriority w:val="99"/>
    <w:semiHidden/>
    <w:unhideWhenUsed/>
    <w:rsid w:val="004A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0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4A2807"/>
  </w:style>
  <w:style w:type="character" w:customStyle="1" w:styleId="Heading1Char">
    <w:name w:val="Heading 1 Char"/>
    <w:basedOn w:val="DefaultParagraphFont"/>
    <w:link w:val="Heading1"/>
    <w:uiPriority w:val="9"/>
    <w:rsid w:val="00957E50"/>
    <w:rPr>
      <w:rFonts w:eastAsiaTheme="majorEastAsia" w:cstheme="majorBidi"/>
      <w:color w:val="34B233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7E50"/>
    <w:rPr>
      <w:rFonts w:eastAsiaTheme="majorEastAsia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00EA"/>
    <w:rPr>
      <w:rFonts w:eastAsiaTheme="majorEastAsia" w:cstheme="majorBidi"/>
      <w:i/>
      <w:szCs w:val="24"/>
    </w:rPr>
  </w:style>
  <w:style w:type="paragraph" w:styleId="ListNumber">
    <w:name w:val="List Number"/>
    <w:basedOn w:val="Normal"/>
    <w:uiPriority w:val="99"/>
    <w:unhideWhenUsed/>
    <w:rsid w:val="0046179A"/>
    <w:pPr>
      <w:numPr>
        <w:numId w:val="3"/>
      </w:numPr>
      <w:tabs>
        <w:tab w:val="clear" w:pos="502"/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6179A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6179A"/>
    <w:pPr>
      <w:numPr>
        <w:numId w:val="6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B424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B7770C"/>
    <w:pPr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hAnsiTheme="majorHAnsi"/>
      <w:color w:val="2F5496" w:themeColor="accent1" w:themeShade="BF"/>
      <w:sz w:val="32"/>
      <w:lang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B7770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770C"/>
    <w:pPr>
      <w:spacing w:after="100"/>
      <w:ind w:left="170"/>
    </w:pPr>
  </w:style>
  <w:style w:type="paragraph" w:styleId="TOC3">
    <w:name w:val="toc 3"/>
    <w:basedOn w:val="Normal"/>
    <w:next w:val="Normal"/>
    <w:autoRedefine/>
    <w:uiPriority w:val="39"/>
    <w:unhideWhenUsed/>
    <w:rsid w:val="00B7770C"/>
    <w:pPr>
      <w:spacing w:after="100"/>
      <w:ind w:left="340"/>
    </w:pPr>
  </w:style>
  <w:style w:type="character" w:styleId="Hyperlink">
    <w:name w:val="Hyperlink"/>
    <w:basedOn w:val="DefaultParagraphFont"/>
    <w:uiPriority w:val="99"/>
    <w:unhideWhenUsed/>
    <w:rsid w:val="00B7770C"/>
    <w:rPr>
      <w:color w:val="0563C1" w:themeColor="hyperlink"/>
      <w:u w:val="single"/>
    </w:rPr>
  </w:style>
  <w:style w:type="paragraph" w:styleId="Title">
    <w:name w:val="Title"/>
    <w:aliases w:val="WFSR Titel"/>
    <w:basedOn w:val="Normal"/>
    <w:next w:val="Normal"/>
    <w:link w:val="TitleChar"/>
    <w:uiPriority w:val="10"/>
    <w:qFormat/>
    <w:rsid w:val="00B7770C"/>
    <w:pPr>
      <w:spacing w:after="0" w:line="360" w:lineRule="auto"/>
      <w:contextualSpacing/>
    </w:pPr>
    <w:rPr>
      <w:rFonts w:eastAsiaTheme="majorEastAsia" w:cstheme="majorBidi"/>
      <w:color w:val="34B233"/>
      <w:spacing w:val="-10"/>
      <w:kern w:val="28"/>
      <w:sz w:val="20"/>
      <w:szCs w:val="56"/>
    </w:rPr>
  </w:style>
  <w:style w:type="character" w:customStyle="1" w:styleId="TitleChar">
    <w:name w:val="Title Char"/>
    <w:aliases w:val="WFSR Titel Char"/>
    <w:basedOn w:val="DefaultParagraphFont"/>
    <w:link w:val="Title"/>
    <w:uiPriority w:val="10"/>
    <w:rsid w:val="00B7770C"/>
    <w:rPr>
      <w:rFonts w:eastAsiaTheme="majorEastAsia" w:cstheme="majorBidi"/>
      <w:color w:val="34B233"/>
      <w:spacing w:val="-10"/>
      <w:kern w:val="28"/>
      <w:sz w:val="20"/>
      <w:szCs w:val="56"/>
    </w:rPr>
  </w:style>
  <w:style w:type="table" w:styleId="TableGrid">
    <w:name w:val="Table Grid"/>
    <w:basedOn w:val="TableNormal"/>
    <w:uiPriority w:val="39"/>
    <w:rsid w:val="00B7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4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0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0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0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00EA"/>
    <w:pPr>
      <w:spacing w:after="0" w:line="240" w:lineRule="auto"/>
    </w:pPr>
  </w:style>
  <w:style w:type="table" w:styleId="GridTable1Light-Accent6">
    <w:name w:val="Grid Table 1 Light Accent 6"/>
    <w:basedOn w:val="TableNormal"/>
    <w:uiPriority w:val="46"/>
    <w:rsid w:val="00A16FF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A16FF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A16FF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16FF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A16F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716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51013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13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5283-D768-4F6A-9C59-E01A5747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6157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Gerrits-Ruizendaal, Mieke</dc:creator>
  <cp:lastModifiedBy>Janssen, Koen1</cp:lastModifiedBy>
  <cp:revision>2</cp:revision>
  <dcterms:created xsi:type="dcterms:W3CDTF">2023-01-23T14:06:00Z</dcterms:created>
  <dcterms:modified xsi:type="dcterms:W3CDTF">2023-01-23T14:06:00Z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oladministrator">
    <vt:lpwstr/>
  </property>
  <property fmtid="{D5CDD505-2E9C-101B-9397-08002B2CF9AE}" pid="3" name="qolauthorizers">
    <vt:lpwstr/>
  </property>
  <property fmtid="{D5CDD505-2E9C-101B-9397-08002B2CF9AE}" pid="4" name="qolcoauthor">
    <vt:lpwstr/>
  </property>
  <property fmtid="{D5CDD505-2E9C-101B-9397-08002B2CF9AE}" pid="5" name="qoldateadministratordone">
    <vt:lpwstr/>
  </property>
  <property fmtid="{D5CDD505-2E9C-101B-9397-08002B2CF9AE}" pid="6" name="qoldateauthorizersdone">
    <vt:lpwstr/>
  </property>
  <property fmtid="{D5CDD505-2E9C-101B-9397-08002B2CF9AE}" pid="7" name="qoldatecoauthordone">
    <vt:lpwstr/>
  </property>
  <property fmtid="{D5CDD505-2E9C-101B-9397-08002B2CF9AE}" pid="8" name="qoldateownerdone">
    <vt:lpwstr/>
  </property>
  <property fmtid="{D5CDD505-2E9C-101B-9397-08002B2CF9AE}" pid="9" name="qoldatereleased">
    <vt:lpwstr>12-dec-2022</vt:lpwstr>
  </property>
  <property fmtid="{D5CDD505-2E9C-101B-9397-08002B2CF9AE}" pid="10" name="qoldatereviewersdone">
    <vt:lpwstr/>
  </property>
  <property fmtid="{D5CDD505-2E9C-101B-9397-08002B2CF9AE}" pid="11" name="qolinitiator">
    <vt:lpwstr>Smit, Martijn (FAB)</vt:lpwstr>
  </property>
  <property fmtid="{D5CDD505-2E9C-101B-9397-08002B2CF9AE}" pid="12" name="qolissue">
    <vt:lpwstr>2</vt:lpwstr>
  </property>
  <property fmtid="{D5CDD505-2E9C-101B-9397-08002B2CF9AE}" pid="13" name="qolnumber">
    <vt:lpwstr>L014-ref.methods</vt:lpwstr>
  </property>
  <property fmtid="{D5CDD505-2E9C-101B-9397-08002B2CF9AE}" pid="14" name="qolowner">
    <vt:lpwstr>Smit, Martijn (Medewerker)</vt:lpwstr>
  </property>
  <property fmtid="{D5CDD505-2E9C-101B-9397-08002B2CF9AE}" pid="15" name="qolperiodicreviewer">
    <vt:lpwstr/>
  </property>
  <property fmtid="{D5CDD505-2E9C-101B-9397-08002B2CF9AE}" pid="16" name="qolreviewers">
    <vt:lpwstr/>
  </property>
  <property fmtid="{D5CDD505-2E9C-101B-9397-08002B2CF9AE}" pid="17" name="qoltitle">
    <vt:lpwstr>Overzicht conformiteitstatus geaccrediteerde analysemethodes</vt:lpwstr>
  </property>
  <property fmtid="{D5CDD505-2E9C-101B-9397-08002B2CF9AE}" pid="18" name="qoltitle_en">
    <vt:lpwstr>Overview status of conformity of accredited analytical methods</vt:lpwstr>
  </property>
</Properties>
</file>