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D0" w:rsidRDefault="004D17D0" w:rsidP="004D17D0">
      <w:pPr>
        <w:pStyle w:val="Default"/>
        <w:rPr>
          <w:b/>
          <w:bCs/>
          <w:color w:val="365F91"/>
          <w:sz w:val="28"/>
          <w:szCs w:val="28"/>
          <w:lang w:val="nl-NL"/>
        </w:rPr>
      </w:pPr>
      <w:bookmarkStart w:id="0" w:name="_GoBack"/>
      <w:bookmarkEnd w:id="0"/>
    </w:p>
    <w:p w:rsidR="004D17D0" w:rsidRDefault="004D17D0" w:rsidP="004D17D0">
      <w:pPr>
        <w:pStyle w:val="Default"/>
        <w:rPr>
          <w:b/>
          <w:bCs/>
          <w:color w:val="365F91"/>
          <w:sz w:val="28"/>
          <w:szCs w:val="28"/>
          <w:lang w:val="nl-NL"/>
        </w:rPr>
      </w:pPr>
    </w:p>
    <w:p w:rsidR="004D17D0" w:rsidRPr="004D17D0" w:rsidRDefault="004D17D0" w:rsidP="004D17D0">
      <w:pPr>
        <w:autoSpaceDE w:val="0"/>
        <w:autoSpaceDN w:val="0"/>
        <w:adjustRightInd w:val="0"/>
        <w:spacing w:after="0" w:line="240" w:lineRule="auto"/>
        <w:rPr>
          <w:rFonts w:ascii="Calibri" w:hAnsi="Calibri" w:cs="Calibri"/>
          <w:color w:val="000000"/>
          <w:sz w:val="22"/>
          <w:lang w:val="nl-NL"/>
        </w:rPr>
      </w:pPr>
      <w:r w:rsidRPr="004D17D0">
        <w:rPr>
          <w:rFonts w:ascii="Calibri" w:hAnsi="Calibri" w:cs="Calibri"/>
          <w:b/>
          <w:bCs/>
          <w:color w:val="000000"/>
          <w:sz w:val="22"/>
          <w:lang w:val="nl-NL"/>
        </w:rPr>
        <w:t xml:space="preserve">DE LANDGOEDERENZONE VAN DE GEMEENTE RENKUM: een onderzoek naar de meervoudige ideeën die er bestaan over de toekomst van het landgoederengebied in de gemeente Renkum aan de hand van de discourse theorie van </w:t>
      </w:r>
      <w:proofErr w:type="spellStart"/>
      <w:r w:rsidRPr="004D17D0">
        <w:rPr>
          <w:rFonts w:ascii="Calibri" w:hAnsi="Calibri" w:cs="Calibri"/>
          <w:b/>
          <w:bCs/>
          <w:color w:val="000000"/>
          <w:sz w:val="22"/>
          <w:lang w:val="nl-NL"/>
        </w:rPr>
        <w:t>Foucault</w:t>
      </w:r>
      <w:proofErr w:type="spellEnd"/>
      <w:r w:rsidRPr="004D17D0">
        <w:rPr>
          <w:rFonts w:ascii="Calibri" w:hAnsi="Calibri" w:cs="Calibri"/>
          <w:b/>
          <w:bCs/>
          <w:color w:val="000000"/>
          <w:sz w:val="22"/>
          <w:lang w:val="nl-NL"/>
        </w:rPr>
        <w:t xml:space="preserve"> en de daarbij horende machtsverhoudingen </w:t>
      </w:r>
    </w:p>
    <w:p w:rsidR="004D17D0" w:rsidRDefault="004D17D0" w:rsidP="004D17D0">
      <w:pPr>
        <w:autoSpaceDE w:val="0"/>
        <w:autoSpaceDN w:val="0"/>
        <w:adjustRightInd w:val="0"/>
        <w:spacing w:after="0" w:line="240" w:lineRule="auto"/>
        <w:rPr>
          <w:rFonts w:ascii="Calibri" w:hAnsi="Calibri" w:cs="Calibri"/>
          <w:b/>
          <w:bCs/>
          <w:color w:val="000000"/>
          <w:sz w:val="22"/>
          <w:lang w:val="nl-NL"/>
        </w:rPr>
      </w:pPr>
    </w:p>
    <w:p w:rsidR="004D17D0" w:rsidRPr="004D17D0" w:rsidRDefault="004D17D0" w:rsidP="004D17D0">
      <w:pPr>
        <w:autoSpaceDE w:val="0"/>
        <w:autoSpaceDN w:val="0"/>
        <w:adjustRightInd w:val="0"/>
        <w:spacing w:after="0" w:line="240" w:lineRule="auto"/>
        <w:rPr>
          <w:rFonts w:ascii="Calibri" w:hAnsi="Calibri" w:cs="Calibri"/>
          <w:color w:val="000000"/>
          <w:sz w:val="22"/>
          <w:lang w:val="nl-NL"/>
        </w:rPr>
      </w:pPr>
      <w:r w:rsidRPr="004D17D0">
        <w:rPr>
          <w:rFonts w:ascii="Calibri" w:hAnsi="Calibri" w:cs="Calibri"/>
          <w:b/>
          <w:bCs/>
          <w:color w:val="000000"/>
          <w:sz w:val="22"/>
          <w:lang w:val="nl-NL"/>
        </w:rPr>
        <w:t xml:space="preserve">AFSTUDEERBEGELEIDERS </w:t>
      </w:r>
    </w:p>
    <w:p w:rsidR="004D17D0" w:rsidRPr="004D17D0" w:rsidRDefault="004D17D0" w:rsidP="004D17D0">
      <w:pPr>
        <w:autoSpaceDE w:val="0"/>
        <w:autoSpaceDN w:val="0"/>
        <w:adjustRightInd w:val="0"/>
        <w:spacing w:after="0" w:line="240" w:lineRule="auto"/>
        <w:rPr>
          <w:rFonts w:ascii="Calibri" w:hAnsi="Calibri" w:cs="Calibri"/>
          <w:color w:val="000000"/>
          <w:sz w:val="22"/>
          <w:lang w:val="nl-NL"/>
        </w:rPr>
      </w:pPr>
      <w:r w:rsidRPr="004D17D0">
        <w:rPr>
          <w:rFonts w:ascii="Calibri" w:hAnsi="Calibri" w:cs="Calibri"/>
          <w:color w:val="000000"/>
          <w:sz w:val="22"/>
          <w:lang w:val="nl-NL"/>
        </w:rPr>
        <w:t xml:space="preserve">Dr. Ir. M. Duineveld </w:t>
      </w:r>
    </w:p>
    <w:p w:rsidR="004D17D0" w:rsidRPr="004D17D0" w:rsidRDefault="004D17D0" w:rsidP="004D17D0">
      <w:pPr>
        <w:autoSpaceDE w:val="0"/>
        <w:autoSpaceDN w:val="0"/>
        <w:adjustRightInd w:val="0"/>
        <w:spacing w:after="0" w:line="240" w:lineRule="auto"/>
        <w:rPr>
          <w:rFonts w:ascii="Calibri" w:hAnsi="Calibri" w:cs="Calibri"/>
          <w:color w:val="000000"/>
          <w:sz w:val="22"/>
          <w:lang w:val="nl-NL"/>
        </w:rPr>
      </w:pPr>
      <w:r w:rsidRPr="004D17D0">
        <w:rPr>
          <w:rFonts w:ascii="Calibri" w:hAnsi="Calibri" w:cs="Calibri"/>
          <w:color w:val="000000"/>
          <w:sz w:val="22"/>
          <w:lang w:val="nl-NL"/>
        </w:rPr>
        <w:t xml:space="preserve">Dr. R. During </w:t>
      </w:r>
    </w:p>
    <w:p w:rsidR="004D17D0" w:rsidRDefault="004D17D0" w:rsidP="004D17D0">
      <w:pPr>
        <w:pStyle w:val="Default"/>
        <w:rPr>
          <w:b/>
          <w:bCs/>
          <w:color w:val="365F91"/>
          <w:sz w:val="28"/>
          <w:szCs w:val="28"/>
          <w:lang w:val="nl-NL"/>
        </w:rPr>
      </w:pPr>
      <w:r w:rsidRPr="004D17D0">
        <w:rPr>
          <w:rFonts w:ascii="Calibri" w:hAnsi="Calibri" w:cs="Calibri"/>
          <w:sz w:val="22"/>
          <w:szCs w:val="22"/>
        </w:rPr>
        <w:t>Remco Brinkman</w:t>
      </w:r>
    </w:p>
    <w:p w:rsidR="004D17D0" w:rsidRDefault="004D17D0" w:rsidP="004D17D0">
      <w:pPr>
        <w:pStyle w:val="Default"/>
        <w:rPr>
          <w:b/>
          <w:bCs/>
          <w:color w:val="365F91"/>
          <w:sz w:val="28"/>
          <w:szCs w:val="28"/>
          <w:lang w:val="nl-NL"/>
        </w:rPr>
      </w:pPr>
    </w:p>
    <w:p w:rsidR="004D17D0" w:rsidRPr="004D17D0" w:rsidRDefault="004D17D0" w:rsidP="004D17D0">
      <w:pPr>
        <w:pStyle w:val="Default"/>
        <w:rPr>
          <w:color w:val="365F91"/>
          <w:sz w:val="28"/>
          <w:szCs w:val="28"/>
          <w:lang w:val="nl-NL"/>
        </w:rPr>
      </w:pPr>
      <w:r w:rsidRPr="004D17D0">
        <w:rPr>
          <w:b/>
          <w:bCs/>
          <w:color w:val="365F91"/>
          <w:sz w:val="28"/>
          <w:szCs w:val="28"/>
          <w:lang w:val="nl-NL"/>
        </w:rPr>
        <w:t xml:space="preserve">SAMENVATTING </w:t>
      </w:r>
    </w:p>
    <w:p w:rsidR="004D17D0" w:rsidRPr="004D17D0" w:rsidRDefault="004D17D0" w:rsidP="004D17D0">
      <w:pPr>
        <w:pStyle w:val="Default"/>
        <w:rPr>
          <w:rFonts w:ascii="Calibri" w:hAnsi="Calibri" w:cs="Calibri"/>
          <w:sz w:val="22"/>
          <w:szCs w:val="22"/>
          <w:lang w:val="nl-NL"/>
        </w:rPr>
      </w:pPr>
      <w:r w:rsidRPr="004D17D0">
        <w:rPr>
          <w:rFonts w:ascii="Calibri" w:hAnsi="Calibri" w:cs="Calibri"/>
          <w:sz w:val="22"/>
          <w:szCs w:val="22"/>
          <w:lang w:val="nl-NL"/>
        </w:rPr>
        <w:t>De landgoederenzone gelegen op de zuidelijke Veluwezoom ligt op de grens van het Veluwemassief en de dalen van de Rijn en de IJssel en wordt vanaf ruwweg de zeventiende eeuw gekenmerkt door een structuur van landschapsparken. Dit gemeentegrensoverschrijdende gebied – dat vandaag de dag loopt van de gemeente Wageningen in het westen tot de gemeente Rheden in het oosten – werd in de negentiende eeuw aangeduid als “</w:t>
      </w:r>
      <w:proofErr w:type="spellStart"/>
      <w:r w:rsidRPr="004D17D0">
        <w:rPr>
          <w:rFonts w:ascii="Calibri" w:hAnsi="Calibri" w:cs="Calibri"/>
          <w:sz w:val="22"/>
          <w:szCs w:val="22"/>
          <w:lang w:val="nl-NL"/>
        </w:rPr>
        <w:t>Geldersch</w:t>
      </w:r>
      <w:proofErr w:type="spellEnd"/>
      <w:r w:rsidRPr="004D17D0">
        <w:rPr>
          <w:rFonts w:ascii="Calibri" w:hAnsi="Calibri" w:cs="Calibri"/>
          <w:sz w:val="22"/>
          <w:szCs w:val="22"/>
          <w:lang w:val="nl-NL"/>
        </w:rPr>
        <w:t xml:space="preserve"> </w:t>
      </w:r>
      <w:proofErr w:type="spellStart"/>
      <w:r w:rsidRPr="004D17D0">
        <w:rPr>
          <w:rFonts w:ascii="Calibri" w:hAnsi="Calibri" w:cs="Calibri"/>
          <w:sz w:val="22"/>
          <w:szCs w:val="22"/>
          <w:lang w:val="nl-NL"/>
        </w:rPr>
        <w:t>Arkadia</w:t>
      </w:r>
      <w:proofErr w:type="spellEnd"/>
      <w:r w:rsidRPr="004D17D0">
        <w:rPr>
          <w:rFonts w:ascii="Calibri" w:hAnsi="Calibri" w:cs="Calibri"/>
          <w:sz w:val="22"/>
          <w:szCs w:val="22"/>
          <w:lang w:val="nl-NL"/>
        </w:rPr>
        <w:t xml:space="preserve">” en bevatte volgens het Gelders Genootschap meer dan honderd buitenplaatsen en landgoederen. </w:t>
      </w:r>
    </w:p>
    <w:p w:rsidR="004D17D0" w:rsidRDefault="004D17D0" w:rsidP="004D17D0">
      <w:pPr>
        <w:pStyle w:val="Default"/>
        <w:rPr>
          <w:rFonts w:ascii="Calibri" w:hAnsi="Calibri" w:cs="Calibri"/>
          <w:sz w:val="22"/>
          <w:szCs w:val="22"/>
          <w:lang w:val="nl-NL"/>
        </w:rPr>
      </w:pPr>
    </w:p>
    <w:p w:rsidR="004D17D0" w:rsidRPr="004D17D0" w:rsidRDefault="004D17D0" w:rsidP="004D17D0">
      <w:pPr>
        <w:pStyle w:val="Default"/>
        <w:rPr>
          <w:rFonts w:ascii="Calibri" w:hAnsi="Calibri" w:cs="Calibri"/>
          <w:sz w:val="22"/>
          <w:szCs w:val="22"/>
          <w:lang w:val="nl-NL"/>
        </w:rPr>
      </w:pPr>
      <w:r w:rsidRPr="004D17D0">
        <w:rPr>
          <w:rFonts w:ascii="Calibri" w:hAnsi="Calibri" w:cs="Calibri"/>
          <w:sz w:val="22"/>
          <w:szCs w:val="22"/>
          <w:lang w:val="nl-NL"/>
        </w:rPr>
        <w:t xml:space="preserve">In navolging van het project “Nieuw Gelders </w:t>
      </w:r>
      <w:proofErr w:type="spellStart"/>
      <w:r w:rsidRPr="004D17D0">
        <w:rPr>
          <w:rFonts w:ascii="Calibri" w:hAnsi="Calibri" w:cs="Calibri"/>
          <w:sz w:val="22"/>
          <w:szCs w:val="22"/>
          <w:lang w:val="nl-NL"/>
        </w:rPr>
        <w:t>Arcadië</w:t>
      </w:r>
      <w:proofErr w:type="spellEnd"/>
      <w:r w:rsidRPr="004D17D0">
        <w:rPr>
          <w:rFonts w:ascii="Calibri" w:hAnsi="Calibri" w:cs="Calibri"/>
          <w:sz w:val="22"/>
          <w:szCs w:val="22"/>
          <w:lang w:val="nl-NL"/>
        </w:rPr>
        <w:t xml:space="preserve">”, geïnitieerd door het Gelders Genootschap, wil de gemeente Renkum nu een visie schrijven voor de toekomst van de landgoederen en buitenplaatsen in de gemeente Renkum. Deze visie wordt gebaseerd op documenten van het Gelders Genootschap welke geschreven zijn naar aanleiding van het project “Nieuw Gelders </w:t>
      </w:r>
      <w:proofErr w:type="spellStart"/>
      <w:r w:rsidRPr="004D17D0">
        <w:rPr>
          <w:rFonts w:ascii="Calibri" w:hAnsi="Calibri" w:cs="Calibri"/>
          <w:sz w:val="22"/>
          <w:szCs w:val="22"/>
          <w:lang w:val="nl-NL"/>
        </w:rPr>
        <w:t>Arcadië</w:t>
      </w:r>
      <w:proofErr w:type="spellEnd"/>
      <w:r w:rsidRPr="004D17D0">
        <w:rPr>
          <w:rFonts w:ascii="Calibri" w:hAnsi="Calibri" w:cs="Calibri"/>
          <w:sz w:val="22"/>
          <w:szCs w:val="22"/>
          <w:lang w:val="nl-NL"/>
        </w:rPr>
        <w:t>”. Verschillende actoren zijn het hier niet mee eens: er heeft immers geen ‘</w:t>
      </w:r>
      <w:proofErr w:type="spellStart"/>
      <w:r w:rsidRPr="004D17D0">
        <w:rPr>
          <w:rFonts w:ascii="Calibri" w:hAnsi="Calibri" w:cs="Calibri"/>
          <w:sz w:val="22"/>
          <w:szCs w:val="22"/>
          <w:lang w:val="nl-NL"/>
        </w:rPr>
        <w:t>waardestellend</w:t>
      </w:r>
      <w:proofErr w:type="spellEnd"/>
      <w:r w:rsidRPr="004D17D0">
        <w:rPr>
          <w:rFonts w:ascii="Calibri" w:hAnsi="Calibri" w:cs="Calibri"/>
          <w:sz w:val="22"/>
          <w:szCs w:val="22"/>
          <w:lang w:val="nl-NL"/>
        </w:rPr>
        <w:t xml:space="preserve"> onderzoek’ plaatsgevonden voorafgaand aan het schrijven van de visie, en ook de burgers in de gemeente Renkum zijn volgens sommigen gepasseerd. </w:t>
      </w:r>
    </w:p>
    <w:p w:rsidR="004D17D0" w:rsidRDefault="004D17D0" w:rsidP="004D17D0">
      <w:pPr>
        <w:pStyle w:val="Default"/>
        <w:rPr>
          <w:rFonts w:ascii="Calibri" w:hAnsi="Calibri" w:cs="Calibri"/>
          <w:sz w:val="22"/>
          <w:szCs w:val="22"/>
          <w:lang w:val="nl-NL"/>
        </w:rPr>
      </w:pPr>
    </w:p>
    <w:p w:rsidR="004D17D0" w:rsidRDefault="004D17D0" w:rsidP="004D17D0">
      <w:pPr>
        <w:pStyle w:val="Default"/>
        <w:rPr>
          <w:rFonts w:ascii="Calibri" w:hAnsi="Calibri" w:cs="Calibri"/>
          <w:sz w:val="22"/>
          <w:szCs w:val="22"/>
        </w:rPr>
      </w:pPr>
      <w:r w:rsidRPr="004D17D0">
        <w:rPr>
          <w:rFonts w:ascii="Calibri" w:hAnsi="Calibri" w:cs="Calibri"/>
          <w:sz w:val="22"/>
          <w:szCs w:val="22"/>
          <w:lang w:val="nl-NL"/>
        </w:rPr>
        <w:t xml:space="preserve">Deze studie laat aan de hand van de discourse theorie van </w:t>
      </w:r>
      <w:proofErr w:type="spellStart"/>
      <w:r w:rsidRPr="004D17D0">
        <w:rPr>
          <w:rFonts w:ascii="Calibri" w:hAnsi="Calibri" w:cs="Calibri"/>
          <w:sz w:val="22"/>
          <w:szCs w:val="22"/>
          <w:lang w:val="nl-NL"/>
        </w:rPr>
        <w:t>Foucault</w:t>
      </w:r>
      <w:proofErr w:type="spellEnd"/>
      <w:r w:rsidRPr="004D17D0">
        <w:rPr>
          <w:rFonts w:ascii="Calibri" w:hAnsi="Calibri" w:cs="Calibri"/>
          <w:sz w:val="22"/>
          <w:szCs w:val="22"/>
          <w:lang w:val="nl-NL"/>
        </w:rPr>
        <w:t xml:space="preserve"> zien hoe de verschillende waardes in dit proces van visievorming geconstrueerd worden. </w:t>
      </w:r>
      <w:proofErr w:type="spellStart"/>
      <w:r>
        <w:rPr>
          <w:rFonts w:ascii="Calibri" w:hAnsi="Calibri" w:cs="Calibri"/>
          <w:sz w:val="22"/>
          <w:szCs w:val="22"/>
        </w:rPr>
        <w:t>Volgens</w:t>
      </w:r>
      <w:proofErr w:type="spellEnd"/>
      <w:r>
        <w:rPr>
          <w:rFonts w:ascii="Calibri" w:hAnsi="Calibri" w:cs="Calibri"/>
          <w:sz w:val="22"/>
          <w:szCs w:val="22"/>
        </w:rPr>
        <w:t xml:space="preserve"> </w:t>
      </w:r>
      <w:proofErr w:type="spellStart"/>
      <w:r>
        <w:rPr>
          <w:rFonts w:ascii="Calibri" w:hAnsi="Calibri" w:cs="Calibri"/>
          <w:sz w:val="22"/>
          <w:szCs w:val="22"/>
        </w:rPr>
        <w:t>Lessa</w:t>
      </w:r>
      <w:proofErr w:type="spellEnd"/>
      <w:r>
        <w:rPr>
          <w:rFonts w:ascii="Calibri" w:hAnsi="Calibri" w:cs="Calibri"/>
          <w:sz w:val="22"/>
          <w:szCs w:val="22"/>
        </w:rPr>
        <w:t xml:space="preserve"> (2006) </w:t>
      </w:r>
      <w:proofErr w:type="spellStart"/>
      <w:r>
        <w:rPr>
          <w:rFonts w:ascii="Calibri" w:hAnsi="Calibri" w:cs="Calibri"/>
          <w:sz w:val="22"/>
          <w:szCs w:val="22"/>
        </w:rPr>
        <w:t>bestaat</w:t>
      </w:r>
      <w:proofErr w:type="spellEnd"/>
      <w:r>
        <w:rPr>
          <w:rFonts w:ascii="Calibri" w:hAnsi="Calibri" w:cs="Calibri"/>
          <w:sz w:val="22"/>
          <w:szCs w:val="22"/>
        </w:rPr>
        <w:t xml:space="preserve"> </w:t>
      </w:r>
      <w:proofErr w:type="spellStart"/>
      <w:r>
        <w:rPr>
          <w:rFonts w:ascii="Calibri" w:hAnsi="Calibri" w:cs="Calibri"/>
          <w:sz w:val="22"/>
          <w:szCs w:val="22"/>
        </w:rPr>
        <w:t>een</w:t>
      </w:r>
      <w:proofErr w:type="spellEnd"/>
      <w:r>
        <w:rPr>
          <w:rFonts w:ascii="Calibri" w:hAnsi="Calibri" w:cs="Calibri"/>
          <w:sz w:val="22"/>
          <w:szCs w:val="22"/>
        </w:rPr>
        <w:t xml:space="preserve"> discourse </w:t>
      </w:r>
      <w:proofErr w:type="spellStart"/>
      <w:r>
        <w:rPr>
          <w:rFonts w:ascii="Calibri" w:hAnsi="Calibri" w:cs="Calibri"/>
          <w:sz w:val="22"/>
          <w:szCs w:val="22"/>
        </w:rPr>
        <w:t>uit</w:t>
      </w:r>
      <w:proofErr w:type="spellEnd"/>
      <w:r>
        <w:rPr>
          <w:rFonts w:ascii="Calibri" w:hAnsi="Calibri" w:cs="Calibri"/>
          <w:sz w:val="22"/>
          <w:szCs w:val="22"/>
        </w:rPr>
        <w:t xml:space="preserve"> ‘</w:t>
      </w:r>
      <w:r>
        <w:rPr>
          <w:rFonts w:ascii="Calibri" w:hAnsi="Calibri" w:cs="Calibri"/>
          <w:i/>
          <w:iCs/>
          <w:sz w:val="22"/>
          <w:szCs w:val="22"/>
        </w:rPr>
        <w:t>systems of thoughts composed of ideas, attitudes, courses of action, beliefs and practices that systematically construct the subjects and the worlds of which they speak’</w:t>
      </w:r>
      <w:r>
        <w:rPr>
          <w:rFonts w:ascii="Calibri" w:hAnsi="Calibri" w:cs="Calibri"/>
          <w:sz w:val="22"/>
          <w:szCs w:val="22"/>
        </w:rPr>
        <w:t xml:space="preserve">. </w:t>
      </w:r>
    </w:p>
    <w:p w:rsidR="004D17D0" w:rsidRPr="004D17D0" w:rsidRDefault="004D17D0" w:rsidP="004D17D0">
      <w:pPr>
        <w:pStyle w:val="Default"/>
        <w:rPr>
          <w:rFonts w:ascii="Calibri" w:hAnsi="Calibri" w:cs="Calibri"/>
          <w:sz w:val="22"/>
          <w:szCs w:val="22"/>
          <w:lang w:val="nl-NL"/>
        </w:rPr>
      </w:pPr>
      <w:r w:rsidRPr="004D17D0">
        <w:rPr>
          <w:rFonts w:ascii="Calibri" w:hAnsi="Calibri" w:cs="Calibri"/>
          <w:sz w:val="22"/>
          <w:szCs w:val="22"/>
          <w:lang w:val="nl-NL"/>
        </w:rPr>
        <w:t>Hierbij spelen de begrippen kennis en macht een grote rol: ‘Macht biedt niet alleen de mogelijkheid om zaken, activiteiten en mensen te domineren, beïnvloeden en uit te sluiten; het heeft ook een producerende werking van kennis, praktijken en realiteiten...’ (</w:t>
      </w:r>
      <w:proofErr w:type="spellStart"/>
      <w:r w:rsidRPr="004D17D0">
        <w:rPr>
          <w:rFonts w:ascii="Calibri" w:hAnsi="Calibri" w:cs="Calibri"/>
          <w:sz w:val="22"/>
          <w:szCs w:val="22"/>
          <w:lang w:val="nl-NL"/>
        </w:rPr>
        <w:t>Albrechts</w:t>
      </w:r>
      <w:proofErr w:type="spellEnd"/>
      <w:r w:rsidRPr="004D17D0">
        <w:rPr>
          <w:rFonts w:ascii="Calibri" w:hAnsi="Calibri" w:cs="Calibri"/>
          <w:sz w:val="22"/>
          <w:szCs w:val="22"/>
          <w:lang w:val="nl-NL"/>
        </w:rPr>
        <w:t xml:space="preserve">, 2003; </w:t>
      </w:r>
      <w:proofErr w:type="spellStart"/>
      <w:r w:rsidRPr="004D17D0">
        <w:rPr>
          <w:rFonts w:ascii="Calibri" w:hAnsi="Calibri" w:cs="Calibri"/>
          <w:sz w:val="22"/>
          <w:szCs w:val="22"/>
          <w:lang w:val="nl-NL"/>
        </w:rPr>
        <w:t>Foucault</w:t>
      </w:r>
      <w:proofErr w:type="spellEnd"/>
      <w:r w:rsidRPr="004D17D0">
        <w:rPr>
          <w:rFonts w:ascii="Calibri" w:hAnsi="Calibri" w:cs="Calibri"/>
          <w:sz w:val="22"/>
          <w:szCs w:val="22"/>
          <w:lang w:val="nl-NL"/>
        </w:rPr>
        <w:t xml:space="preserve">, 1981; </w:t>
      </w:r>
      <w:proofErr w:type="spellStart"/>
      <w:r w:rsidRPr="004D17D0">
        <w:rPr>
          <w:rFonts w:ascii="Calibri" w:hAnsi="Calibri" w:cs="Calibri"/>
          <w:sz w:val="22"/>
          <w:szCs w:val="22"/>
          <w:lang w:val="nl-NL"/>
        </w:rPr>
        <w:t>Foucault</w:t>
      </w:r>
      <w:proofErr w:type="spellEnd"/>
      <w:r w:rsidRPr="004D17D0">
        <w:rPr>
          <w:rFonts w:ascii="Calibri" w:hAnsi="Calibri" w:cs="Calibri"/>
          <w:sz w:val="22"/>
          <w:szCs w:val="22"/>
          <w:lang w:val="nl-NL"/>
        </w:rPr>
        <w:t xml:space="preserve">, 2010). Het machtsspel dat wordt gespeeld bij de totstandkoming van de visie wordt geanalyseerd om zo te kijken </w:t>
      </w:r>
      <w:r w:rsidRPr="004D17D0">
        <w:rPr>
          <w:rFonts w:ascii="Calibri" w:hAnsi="Calibri" w:cs="Calibri"/>
          <w:i/>
          <w:iCs/>
          <w:sz w:val="22"/>
          <w:szCs w:val="22"/>
          <w:lang w:val="nl-NL"/>
        </w:rPr>
        <w:t xml:space="preserve">wie de waarheid aan zijn zijde krijgt </w:t>
      </w:r>
      <w:r w:rsidRPr="004D17D0">
        <w:rPr>
          <w:rFonts w:ascii="Calibri" w:hAnsi="Calibri" w:cs="Calibri"/>
          <w:sz w:val="22"/>
          <w:szCs w:val="22"/>
          <w:lang w:val="nl-NL"/>
        </w:rPr>
        <w:t xml:space="preserve">en waar dit door komt. </w:t>
      </w:r>
    </w:p>
    <w:p w:rsidR="004D17D0" w:rsidRPr="004D17D0" w:rsidRDefault="004D17D0" w:rsidP="004D17D0">
      <w:pPr>
        <w:pStyle w:val="Default"/>
        <w:rPr>
          <w:rFonts w:ascii="Calibri" w:hAnsi="Calibri" w:cs="Calibri"/>
          <w:sz w:val="22"/>
          <w:szCs w:val="22"/>
          <w:lang w:val="nl-NL"/>
        </w:rPr>
      </w:pPr>
      <w:r w:rsidRPr="004D17D0">
        <w:rPr>
          <w:rFonts w:ascii="Calibri" w:hAnsi="Calibri" w:cs="Calibri"/>
          <w:sz w:val="22"/>
          <w:szCs w:val="22"/>
          <w:lang w:val="nl-NL"/>
        </w:rPr>
        <w:t>Met behulp van verschillende bronnen, waaronder het doornemen van literatuur, het analyseren van (</w:t>
      </w:r>
      <w:proofErr w:type="spellStart"/>
      <w:r w:rsidRPr="004D17D0">
        <w:rPr>
          <w:rFonts w:ascii="Calibri" w:hAnsi="Calibri" w:cs="Calibri"/>
          <w:sz w:val="22"/>
          <w:szCs w:val="22"/>
          <w:lang w:val="nl-NL"/>
        </w:rPr>
        <w:t>beleids</w:t>
      </w:r>
      <w:proofErr w:type="spellEnd"/>
      <w:r w:rsidRPr="004D17D0">
        <w:rPr>
          <w:rFonts w:ascii="Calibri" w:hAnsi="Calibri" w:cs="Calibri"/>
          <w:sz w:val="22"/>
          <w:szCs w:val="22"/>
          <w:lang w:val="nl-NL"/>
        </w:rPr>
        <w:t xml:space="preserve">)documenten en het afnemen van interviews worden in hoofdstuk zes uiteindelijk zes discoursen onderscheiden, te weten: het ‘natuur-discourse’, het ‘continuïteits-discourse’, het ‘verpauperings-discourse’, het ‘uitgestippelde-route-discourse’, het ‘gelijke-kansen-discourse’ en het ‘ontwikkelings-discourse’, waarna er in wordt gegaan op de daarbij horende waardes en de constructie daarvan. </w:t>
      </w:r>
    </w:p>
    <w:p w:rsidR="000A1EC8" w:rsidRPr="004D17D0" w:rsidRDefault="004D17D0" w:rsidP="004D17D0">
      <w:pPr>
        <w:rPr>
          <w:lang w:val="nl-NL"/>
        </w:rPr>
      </w:pPr>
      <w:r w:rsidRPr="004D17D0">
        <w:rPr>
          <w:rFonts w:ascii="Calibri" w:hAnsi="Calibri" w:cs="Calibri"/>
          <w:sz w:val="22"/>
          <w:lang w:val="nl-NL"/>
        </w:rPr>
        <w:t xml:space="preserve">Er blijkt echter een veel groter onderliggend probleem te zijn in de gemeente Renkum, namelijk het gebrek aan burgerparticipatie. Dit hangt samen met het stroeve contact tussen de gemeente en haar burgers. Het opleidingsniveau in de gemeente is relatief hoog en de gemeente lijkt bang te zijn de controle te verliezen wanneer burgerinitiatieven zich manifesteren. Leden van de door de gemeente opgezette klankbordgroep – welke betrokken zouden moeten worden bij het opstellen van de visie landgoederen – voelen zich gepasseerd en noemen de klankbordgroep ‘de schaamlap van de gemeente’. Ondertussen zeggen alle politici die zijn geïnterviewd voor dit onderzoek dat </w:t>
      </w:r>
      <w:r w:rsidRPr="004D17D0">
        <w:rPr>
          <w:rFonts w:ascii="Calibri" w:hAnsi="Calibri" w:cs="Calibri"/>
          <w:sz w:val="22"/>
          <w:lang w:val="nl-NL"/>
        </w:rPr>
        <w:lastRenderedPageBreak/>
        <w:t>burgerparticipatie een grotere rol moet spelen binnen de gemeente Renkum, maar leggen zij zich er keer op keer bij neer wanneer burgers niet worden betrokken bij gemeentelijke processen.</w:t>
      </w:r>
    </w:p>
    <w:sectPr w:rsidR="000A1EC8" w:rsidRPr="004D1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D0"/>
    <w:rsid w:val="000A1EC8"/>
    <w:rsid w:val="004D17D0"/>
    <w:rsid w:val="005E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17D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17D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Jagt, Pat van der</dc:creator>
  <cp:lastModifiedBy>Berkum, Marcel van</cp:lastModifiedBy>
  <cp:revision>2</cp:revision>
  <dcterms:created xsi:type="dcterms:W3CDTF">2013-02-22T09:51:00Z</dcterms:created>
  <dcterms:modified xsi:type="dcterms:W3CDTF">2013-02-22T09:51:00Z</dcterms:modified>
</cp:coreProperties>
</file>