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B330" w14:textId="31FB546F" w:rsidR="00EA24B8" w:rsidRPr="004B6007" w:rsidRDefault="00EA24B8" w:rsidP="00EA24B8">
      <w:pPr>
        <w:keepNext/>
        <w:spacing w:after="240" w:line="520" w:lineRule="exact"/>
        <w:ind w:left="1418" w:hanging="1418"/>
        <w:outlineLvl w:val="0"/>
        <w:rPr>
          <w:rFonts w:asciiTheme="majorHAnsi" w:eastAsia="Times New Roman" w:hAnsiTheme="majorHAnsi" w:cs="Arial"/>
          <w:b/>
          <w:bCs/>
          <w:kern w:val="32"/>
          <w:sz w:val="36"/>
          <w:szCs w:val="32"/>
          <w:lang w:val="nl-NL" w:eastAsia="nl-NL"/>
        </w:rPr>
      </w:pPr>
      <w:r w:rsidRPr="004B6007">
        <w:rPr>
          <w:rFonts w:asciiTheme="majorHAnsi" w:eastAsia="Times New Roman" w:hAnsiTheme="majorHAnsi" w:cs="Arial"/>
          <w:b/>
          <w:bCs/>
          <w:kern w:val="32"/>
          <w:sz w:val="36"/>
          <w:szCs w:val="32"/>
          <w:lang w:val="nl-NL" w:eastAsia="nl-NL"/>
        </w:rPr>
        <w:t>Uitvoeringsregeling Nevenwerk</w:t>
      </w:r>
      <w:r w:rsidRPr="004B6007">
        <w:rPr>
          <w:rFonts w:asciiTheme="majorHAnsi" w:eastAsia="Times New Roman" w:hAnsiTheme="majorHAnsi" w:cs="Arial"/>
          <w:b/>
          <w:bCs/>
          <w:kern w:val="32"/>
          <w:sz w:val="36"/>
          <w:szCs w:val="32"/>
          <w:lang w:val="nl-NL" w:eastAsia="nl-NL"/>
        </w:rPr>
        <w:softHyphen/>
        <w:t>zaam</w:t>
      </w:r>
      <w:r w:rsidRPr="004B6007">
        <w:rPr>
          <w:rFonts w:asciiTheme="majorHAnsi" w:eastAsia="Times New Roman" w:hAnsiTheme="majorHAnsi" w:cs="Arial"/>
          <w:b/>
          <w:bCs/>
          <w:kern w:val="32"/>
          <w:sz w:val="36"/>
          <w:szCs w:val="32"/>
          <w:lang w:val="nl-NL" w:eastAsia="nl-NL"/>
        </w:rPr>
        <w:softHyphen/>
        <w:t>heden Wageningen UR</w:t>
      </w:r>
    </w:p>
    <w:p w14:paraId="0A31B331"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bookmarkStart w:id="0" w:name="_Toc430057970"/>
      <w:bookmarkStart w:id="1" w:name="_Toc430419189"/>
      <w:bookmarkStart w:id="2" w:name="_Toc430419461"/>
      <w:bookmarkStart w:id="3" w:name="_Toc430057971"/>
      <w:bookmarkStart w:id="4" w:name="_Toc430419190"/>
      <w:bookmarkStart w:id="5" w:name="_Toc430419462"/>
      <w:bookmarkStart w:id="6" w:name="_Toc430057972"/>
      <w:bookmarkStart w:id="7" w:name="_Toc430419191"/>
      <w:bookmarkStart w:id="8" w:name="_Toc430419463"/>
      <w:bookmarkStart w:id="9" w:name="_Toc430057973"/>
      <w:bookmarkStart w:id="10" w:name="_Toc430419192"/>
      <w:bookmarkStart w:id="11" w:name="_Toc430419464"/>
      <w:bookmarkStart w:id="12" w:name="_Toc430419193"/>
      <w:bookmarkStart w:id="13" w:name="_Toc430419465"/>
      <w:bookmarkStart w:id="14" w:name="_Toc430057976"/>
      <w:bookmarkStart w:id="15" w:name="_Toc430419195"/>
      <w:bookmarkStart w:id="16" w:name="_Toc430419467"/>
      <w:bookmarkStart w:id="17" w:name="_Toc430057977"/>
      <w:bookmarkStart w:id="18" w:name="_Toc430419196"/>
      <w:bookmarkStart w:id="19" w:name="_Toc430419468"/>
      <w:bookmarkStart w:id="20" w:name="_Toc430057978"/>
      <w:bookmarkStart w:id="21" w:name="_Toc430419197"/>
      <w:bookmarkStart w:id="22" w:name="_Toc430419469"/>
      <w:bookmarkStart w:id="23" w:name="_Toc430057980"/>
      <w:bookmarkStart w:id="24" w:name="_Toc430419199"/>
      <w:bookmarkStart w:id="25" w:name="_Toc430419471"/>
      <w:bookmarkStart w:id="26" w:name="_Toc430057981"/>
      <w:bookmarkStart w:id="27" w:name="_Toc430419200"/>
      <w:bookmarkStart w:id="28" w:name="_Toc4304194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A31B332"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 xml:space="preserve">Overwegende dat </w:t>
      </w:r>
    </w:p>
    <w:p w14:paraId="0A31B333"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w:t>
      </w:r>
      <w:r w:rsidRPr="004B6007">
        <w:rPr>
          <w:rFonts w:asciiTheme="majorHAnsi" w:eastAsia="Times New Roman" w:hAnsiTheme="majorHAnsi" w:cs="Times New Roman"/>
          <w:kern w:val="14"/>
          <w:sz w:val="18"/>
          <w:szCs w:val="20"/>
          <w:lang w:val="nl-NL" w:eastAsia="nl-NL"/>
        </w:rPr>
        <w:tab/>
        <w:t>enerzijds betaalde en onbetaalde werkzaamheden van medewerkers voor een andere instantie dan de eigen werkgever een positieve bijdrage kunnen leveren aan de kwaliteit van de uitvoering van taken en aan de belangen van Wageningen UR,</w:t>
      </w:r>
    </w:p>
    <w:p w14:paraId="0A31B334"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w:t>
      </w:r>
      <w:r w:rsidRPr="004B6007">
        <w:rPr>
          <w:rFonts w:asciiTheme="majorHAnsi" w:eastAsia="Times New Roman" w:hAnsiTheme="majorHAnsi" w:cs="Times New Roman"/>
          <w:kern w:val="14"/>
          <w:sz w:val="18"/>
          <w:szCs w:val="20"/>
          <w:lang w:val="nl-NL" w:eastAsia="nl-NL"/>
        </w:rPr>
        <w:tab/>
        <w:t>anderzijds het gewenst is een aantal voorwaarden vast te stellen voor het aanvaarden en verrichten van nevenwerkzaamheden,</w:t>
      </w:r>
    </w:p>
    <w:p w14:paraId="0A31B335"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36"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Gelet op artikel 1.14 van de CAO Nederlandse Universiteiten en artikel 3.5 van de CAO Stichting Dienst Landbouwkundig Onderzoek, stellen het College van Bestuur van Wageningen Universiteit en het College van Bestuur van de Stichting DLO de navolgende regeling vast:</w:t>
      </w:r>
    </w:p>
    <w:p w14:paraId="0A31B337"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38"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1 </w:t>
      </w:r>
      <w:r w:rsidRPr="004B6007">
        <w:rPr>
          <w:rFonts w:asciiTheme="majorHAnsi" w:eastAsia="Times New Roman" w:hAnsiTheme="majorHAnsi" w:cs="Times New Roman"/>
          <w:b/>
          <w:bCs/>
          <w:kern w:val="14"/>
          <w:sz w:val="18"/>
          <w:szCs w:val="20"/>
          <w:lang w:val="nl-NL" w:eastAsia="nl-NL"/>
        </w:rPr>
        <w:tab/>
        <w:t xml:space="preserve"> </w:t>
      </w:r>
    </w:p>
    <w:p w14:paraId="0A31B339"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In deze regeling wordt verstaan onder:</w:t>
      </w:r>
    </w:p>
    <w:p w14:paraId="0A31B33A" w14:textId="77777777" w:rsidR="00EA24B8" w:rsidRPr="004B6007" w:rsidRDefault="00EA24B8" w:rsidP="00EA24B8">
      <w:pPr>
        <w:tabs>
          <w:tab w:val="left" w:pos="567"/>
          <w:tab w:val="left" w:pos="2268"/>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a</w:t>
      </w:r>
      <w:r w:rsidRPr="004B6007">
        <w:rPr>
          <w:rFonts w:asciiTheme="majorHAnsi" w:eastAsia="Times New Roman" w:hAnsiTheme="majorHAnsi" w:cs="Times New Roman"/>
          <w:kern w:val="14"/>
          <w:sz w:val="18"/>
          <w:szCs w:val="20"/>
          <w:lang w:val="nl-NL" w:eastAsia="nl-NL"/>
        </w:rPr>
        <w:tab/>
        <w:t>werkgever:</w:t>
      </w:r>
      <w:r w:rsidRPr="004B6007">
        <w:rPr>
          <w:rFonts w:asciiTheme="majorHAnsi" w:eastAsia="Times New Roman" w:hAnsiTheme="majorHAnsi" w:cs="Times New Roman"/>
          <w:kern w:val="14"/>
          <w:sz w:val="18"/>
          <w:szCs w:val="20"/>
          <w:lang w:val="nl-NL" w:eastAsia="nl-NL"/>
        </w:rPr>
        <w:tab/>
        <w:t xml:space="preserve">het College van Bestuur van Wageningen Universiteit of de </w:t>
      </w:r>
      <w:r w:rsidRPr="004B6007">
        <w:rPr>
          <w:rFonts w:asciiTheme="majorHAnsi" w:eastAsia="Times New Roman" w:hAnsiTheme="majorHAnsi" w:cs="Times New Roman"/>
          <w:kern w:val="14"/>
          <w:sz w:val="18"/>
          <w:szCs w:val="20"/>
          <w:lang w:val="nl-NL" w:eastAsia="nl-NL"/>
        </w:rPr>
        <w:tab/>
      </w:r>
      <w:r w:rsidRPr="004B6007">
        <w:rPr>
          <w:rFonts w:asciiTheme="majorHAnsi" w:eastAsia="Times New Roman" w:hAnsiTheme="majorHAnsi" w:cs="Times New Roman"/>
          <w:kern w:val="14"/>
          <w:sz w:val="18"/>
          <w:szCs w:val="20"/>
          <w:lang w:val="nl-NL" w:eastAsia="nl-NL"/>
        </w:rPr>
        <w:tab/>
      </w:r>
      <w:r w:rsidRPr="004B6007">
        <w:rPr>
          <w:rFonts w:asciiTheme="majorHAnsi" w:eastAsia="Times New Roman" w:hAnsiTheme="majorHAnsi" w:cs="Times New Roman"/>
          <w:kern w:val="14"/>
          <w:sz w:val="18"/>
          <w:szCs w:val="20"/>
          <w:lang w:val="nl-NL" w:eastAsia="nl-NL"/>
        </w:rPr>
        <w:tab/>
      </w:r>
      <w:r w:rsidRPr="004B6007">
        <w:rPr>
          <w:rFonts w:asciiTheme="majorHAnsi" w:eastAsia="Times New Roman" w:hAnsiTheme="majorHAnsi" w:cs="Times New Roman"/>
          <w:kern w:val="14"/>
          <w:sz w:val="18"/>
          <w:szCs w:val="20"/>
          <w:lang w:val="nl-NL" w:eastAsia="nl-NL"/>
        </w:rPr>
        <w:tab/>
        <w:t>Stichting Dienst Landbouwkundig Onderzoek;</w:t>
      </w:r>
    </w:p>
    <w:p w14:paraId="0A31B33B" w14:textId="77777777" w:rsidR="00EA24B8" w:rsidRPr="004B6007" w:rsidRDefault="00EA24B8" w:rsidP="00EA24B8">
      <w:pPr>
        <w:tabs>
          <w:tab w:val="left" w:pos="567"/>
          <w:tab w:val="left" w:pos="2268"/>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b</w:t>
      </w:r>
      <w:r w:rsidRPr="004B6007">
        <w:rPr>
          <w:rFonts w:asciiTheme="majorHAnsi" w:eastAsia="Times New Roman" w:hAnsiTheme="majorHAnsi" w:cs="Times New Roman"/>
          <w:kern w:val="14"/>
          <w:sz w:val="18"/>
          <w:szCs w:val="20"/>
          <w:lang w:val="nl-NL" w:eastAsia="nl-NL"/>
        </w:rPr>
        <w:tab/>
        <w:t>werknemer:</w:t>
      </w:r>
      <w:r w:rsidRPr="004B6007">
        <w:rPr>
          <w:rFonts w:asciiTheme="majorHAnsi" w:eastAsia="Times New Roman" w:hAnsiTheme="majorHAnsi" w:cs="Times New Roman"/>
          <w:kern w:val="14"/>
          <w:sz w:val="18"/>
          <w:szCs w:val="20"/>
          <w:lang w:val="nl-NL" w:eastAsia="nl-NL"/>
        </w:rPr>
        <w:tab/>
        <w:t>degene die een dienstverband heeft bij Wageningen Universiteit</w:t>
      </w:r>
      <w:r w:rsidRPr="004B6007">
        <w:rPr>
          <w:rFonts w:asciiTheme="majorHAnsi" w:eastAsia="Times New Roman" w:hAnsiTheme="majorHAnsi" w:cs="Times New Roman"/>
          <w:kern w:val="14"/>
          <w:sz w:val="18"/>
          <w:szCs w:val="20"/>
          <w:lang w:val="nl-NL" w:eastAsia="nl-NL"/>
        </w:rPr>
        <w:br/>
      </w:r>
      <w:r w:rsidRPr="004B6007">
        <w:rPr>
          <w:rFonts w:asciiTheme="majorHAnsi" w:eastAsia="Times New Roman" w:hAnsiTheme="majorHAnsi" w:cs="Times New Roman"/>
          <w:kern w:val="14"/>
          <w:sz w:val="18"/>
          <w:szCs w:val="20"/>
          <w:lang w:val="nl-NL" w:eastAsia="nl-NL"/>
        </w:rPr>
        <w:tab/>
        <w:t>of bij de Stichting Dienst Landbouwkundig Onderzoek;</w:t>
      </w:r>
    </w:p>
    <w:p w14:paraId="0A31B33C" w14:textId="77777777" w:rsidR="00EA24B8" w:rsidRPr="004B6007" w:rsidRDefault="00EA24B8" w:rsidP="00EA24B8">
      <w:pPr>
        <w:tabs>
          <w:tab w:val="left" w:pos="567"/>
          <w:tab w:val="left" w:pos="2268"/>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c</w:t>
      </w:r>
      <w:r w:rsidRPr="004B6007">
        <w:rPr>
          <w:rFonts w:asciiTheme="majorHAnsi" w:eastAsia="Times New Roman" w:hAnsiTheme="majorHAnsi" w:cs="Times New Roman"/>
          <w:kern w:val="14"/>
          <w:sz w:val="18"/>
          <w:szCs w:val="20"/>
          <w:lang w:val="nl-NL" w:eastAsia="nl-NL"/>
        </w:rPr>
        <w:tab/>
        <w:t xml:space="preserve">College van Bestuur: </w:t>
      </w:r>
      <w:r w:rsidRPr="004B6007">
        <w:rPr>
          <w:rFonts w:asciiTheme="majorHAnsi" w:eastAsia="Times New Roman" w:hAnsiTheme="majorHAnsi" w:cs="Times New Roman"/>
          <w:kern w:val="14"/>
          <w:sz w:val="18"/>
          <w:szCs w:val="20"/>
          <w:lang w:val="nl-NL" w:eastAsia="nl-NL"/>
        </w:rPr>
        <w:tab/>
        <w:t xml:space="preserve">het College van Bestuur van Wageningen Universiteit en de </w:t>
      </w:r>
      <w:r w:rsidRPr="004B6007">
        <w:rPr>
          <w:rFonts w:asciiTheme="majorHAnsi" w:eastAsia="Times New Roman" w:hAnsiTheme="majorHAnsi" w:cs="Times New Roman"/>
          <w:kern w:val="14"/>
          <w:sz w:val="18"/>
          <w:szCs w:val="20"/>
          <w:lang w:val="nl-NL" w:eastAsia="nl-NL"/>
        </w:rPr>
        <w:tab/>
      </w:r>
      <w:r w:rsidRPr="004B6007">
        <w:rPr>
          <w:rFonts w:asciiTheme="majorHAnsi" w:eastAsia="Times New Roman" w:hAnsiTheme="majorHAnsi" w:cs="Times New Roman"/>
          <w:kern w:val="14"/>
          <w:sz w:val="18"/>
          <w:szCs w:val="20"/>
          <w:lang w:val="nl-NL" w:eastAsia="nl-NL"/>
        </w:rPr>
        <w:tab/>
      </w:r>
      <w:r w:rsidRPr="004B6007">
        <w:rPr>
          <w:rFonts w:asciiTheme="majorHAnsi" w:eastAsia="Times New Roman" w:hAnsiTheme="majorHAnsi" w:cs="Times New Roman"/>
          <w:kern w:val="14"/>
          <w:sz w:val="18"/>
          <w:szCs w:val="20"/>
          <w:lang w:val="nl-NL" w:eastAsia="nl-NL"/>
        </w:rPr>
        <w:tab/>
      </w:r>
      <w:r w:rsidRPr="004B6007">
        <w:rPr>
          <w:rFonts w:asciiTheme="majorHAnsi" w:eastAsia="Times New Roman" w:hAnsiTheme="majorHAnsi" w:cs="Times New Roman"/>
          <w:kern w:val="14"/>
          <w:sz w:val="18"/>
          <w:szCs w:val="20"/>
          <w:lang w:val="nl-NL" w:eastAsia="nl-NL"/>
        </w:rPr>
        <w:tab/>
        <w:t xml:space="preserve">Stichting Dienst Landbouwkundig Onderzoek. </w:t>
      </w:r>
    </w:p>
    <w:p w14:paraId="0A31B33D"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3E"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2 </w:t>
      </w:r>
    </w:p>
    <w:p w14:paraId="0A31B33F"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Nevenwerkzaamheden zijn alle betaalde en onbetaalde werkzaamheden die niet tot de opgedragen functie van de werknemer behoren en die uitgevoerd worden ten behoeve van, in opdracht van of ten nutte van een ander dan de werkgever (ongeacht de omvang van het dienstverband en de omvang van de nevenwerkzaamheden).</w:t>
      </w:r>
    </w:p>
    <w:p w14:paraId="0A31B340"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3 </w:t>
      </w:r>
    </w:p>
    <w:p w14:paraId="0A31B341"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u w:val="single"/>
          <w:lang w:val="nl-NL" w:eastAsia="nl-NL"/>
        </w:rPr>
        <w:t>Niet</w:t>
      </w:r>
      <w:r w:rsidRPr="004B6007">
        <w:rPr>
          <w:rFonts w:asciiTheme="majorHAnsi" w:eastAsia="Times New Roman" w:hAnsiTheme="majorHAnsi" w:cs="Times New Roman"/>
          <w:kern w:val="14"/>
          <w:sz w:val="18"/>
          <w:szCs w:val="20"/>
          <w:lang w:val="nl-NL" w:eastAsia="nl-NL"/>
        </w:rPr>
        <w:t xml:space="preserve"> als nevenwerkzaamheden in de zin van deze regeling worden beschouwd:</w:t>
      </w:r>
    </w:p>
    <w:p w14:paraId="0A31B342" w14:textId="058EF1CB"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a</w:t>
      </w:r>
      <w:r w:rsidRPr="004B6007">
        <w:rPr>
          <w:rFonts w:asciiTheme="majorHAnsi" w:eastAsia="Times New Roman" w:hAnsiTheme="majorHAnsi" w:cs="Times New Roman"/>
          <w:kern w:val="14"/>
          <w:sz w:val="18"/>
          <w:szCs w:val="20"/>
          <w:lang w:val="nl-NL" w:eastAsia="nl-NL"/>
        </w:rPr>
        <w:tab/>
        <w:t xml:space="preserve">activiteiten als benoemd of gekozen lid van organen van openbaar bestuur, zoals de </w:t>
      </w:r>
      <w:r w:rsidRPr="004B6007">
        <w:rPr>
          <w:rFonts w:asciiTheme="majorHAnsi" w:eastAsia="Times New Roman" w:hAnsiTheme="majorHAnsi" w:cs="Times New Roman"/>
          <w:kern w:val="14"/>
          <w:sz w:val="18"/>
          <w:szCs w:val="20"/>
          <w:lang w:val="nl-NL" w:eastAsia="nl-NL"/>
        </w:rPr>
        <w:br/>
        <w:t xml:space="preserve">gemeenteraad of Provinciale Staten. </w:t>
      </w:r>
      <w:bookmarkStart w:id="29" w:name="_GoBack"/>
      <w:bookmarkEnd w:id="29"/>
    </w:p>
    <w:p w14:paraId="0A31B343"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b</w:t>
      </w:r>
      <w:r w:rsidRPr="004B6007">
        <w:rPr>
          <w:rFonts w:asciiTheme="majorHAnsi" w:eastAsia="Times New Roman" w:hAnsiTheme="majorHAnsi" w:cs="Times New Roman"/>
          <w:kern w:val="14"/>
          <w:sz w:val="18"/>
          <w:szCs w:val="20"/>
          <w:lang w:val="nl-NL" w:eastAsia="nl-NL"/>
        </w:rPr>
        <w:tab/>
        <w:t xml:space="preserve">contractactiviteiten waarbij de Stichting DLO of  Wageningen Universiteit als contractpartner optreedt. In dat geval vallen de (opgedragen) werkzaamheden binnen de functie van de </w:t>
      </w:r>
      <w:r w:rsidRPr="004B6007">
        <w:rPr>
          <w:rFonts w:asciiTheme="majorHAnsi" w:eastAsia="Times New Roman" w:hAnsiTheme="majorHAnsi" w:cs="Times New Roman"/>
          <w:kern w:val="14"/>
          <w:sz w:val="18"/>
          <w:szCs w:val="20"/>
          <w:lang w:val="nl-NL" w:eastAsia="nl-NL"/>
        </w:rPr>
        <w:br/>
        <w:t>werknemer.</w:t>
      </w:r>
    </w:p>
    <w:p w14:paraId="0A31B344"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c</w:t>
      </w:r>
      <w:r w:rsidRPr="004B6007">
        <w:rPr>
          <w:rFonts w:asciiTheme="majorHAnsi" w:eastAsia="Times New Roman" w:hAnsiTheme="majorHAnsi" w:cs="Times New Roman"/>
          <w:kern w:val="14"/>
          <w:sz w:val="18"/>
          <w:szCs w:val="20"/>
          <w:lang w:val="nl-NL" w:eastAsia="nl-NL"/>
        </w:rPr>
        <w:tab/>
        <w:t>werkzaamheden waarvan het evident is dat deze geen verband houden met de functie.</w:t>
      </w:r>
    </w:p>
    <w:p w14:paraId="0A31B345"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46"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Artikel 4</w:t>
      </w:r>
    </w:p>
    <w:p w14:paraId="0A31B347"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 xml:space="preserve">Nevenwerkzaamheden mogen slechts na schriftelijke toestemming van de werkgever, waarbij het horen van de werknemer mogelijk is, worden verricht. Aan het verlenen van toestemming kunnen voorwaarden worden verbonden. </w:t>
      </w:r>
    </w:p>
    <w:p w14:paraId="0A31B348"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In het bijzonder kunnen aan de toestemming voor nevenwerkzaamheden voorwaarden worden verbonden met betrekking tot de duur en de omvang van de nevenwerkzaamheden alsmede met betrekking tot de gevolgen van een eventuele financiële of andere tegemoetkoming.</w:t>
      </w:r>
    </w:p>
    <w:p w14:paraId="0A31B349"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lastRenderedPageBreak/>
        <w:t>De toestemming kan te allen tijde - met inachtneming van een redelijke termijn- door de werkgever worden ingetrokken.</w:t>
      </w:r>
    </w:p>
    <w:p w14:paraId="0A31B34A"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4B"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5 </w:t>
      </w:r>
    </w:p>
    <w:p w14:paraId="0A31B34C"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De werknemer is verplicht de werkgever schriftelijk toestemming te vragen voor het verrichten van nevenwerk</w:t>
      </w:r>
      <w:r w:rsidRPr="004B6007">
        <w:rPr>
          <w:rFonts w:asciiTheme="majorHAnsi" w:eastAsia="Times New Roman" w:hAnsiTheme="majorHAnsi" w:cs="Times New Roman"/>
          <w:kern w:val="14"/>
          <w:sz w:val="18"/>
          <w:szCs w:val="20"/>
          <w:lang w:val="nl-NL" w:eastAsia="nl-NL"/>
        </w:rPr>
        <w:softHyphen/>
        <w:t>zaamheden, alsmede voor elke wijziging zoals in de aard en/of omvang van bestaande nevenwerkzaamheden. Bij indiensttreding dient derhalve melding gemaakt te worden van nevenwerkzaamheden.</w:t>
      </w:r>
    </w:p>
    <w:p w14:paraId="0A31B34D"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De (wetenschappelijk) medewerkers en hoogleraren dienen hun verzoek om toestemming in bij hun (algemeen) directeur.</w:t>
      </w:r>
    </w:p>
    <w:p w14:paraId="0A31B34E"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De (algemeen) directeuren en degenen die rechtstreeks rapporteren aan het College van Bestuur dienen hun verzoek in bij dit College.</w:t>
      </w:r>
    </w:p>
    <w:p w14:paraId="0A31B34F"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50"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6 </w:t>
      </w:r>
    </w:p>
    <w:p w14:paraId="0A31B351"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De werkgever reageert binnen een maand op het ingediende verzoek.</w:t>
      </w:r>
    </w:p>
    <w:p w14:paraId="0A31B352"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53"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7 </w:t>
      </w:r>
    </w:p>
    <w:p w14:paraId="0A31B354"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 xml:space="preserve">Toestemming voor het verrichten van nevenwerkzaamheden wordt verleend, tenzij </w:t>
      </w:r>
    </w:p>
    <w:p w14:paraId="0A31B355"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a</w:t>
      </w:r>
      <w:r w:rsidRPr="004B6007">
        <w:rPr>
          <w:rFonts w:asciiTheme="majorHAnsi" w:eastAsia="Times New Roman" w:hAnsiTheme="majorHAnsi" w:cs="Times New Roman"/>
          <w:kern w:val="14"/>
          <w:sz w:val="18"/>
          <w:szCs w:val="20"/>
          <w:lang w:val="nl-NL" w:eastAsia="nl-NL"/>
        </w:rPr>
        <w:tab/>
        <w:t>de nevenwerkzaamheden kwalitatief en/of kwantitatief de vervulling van de met de werkgever overeengekomen taken kunnen aantasten;</w:t>
      </w:r>
    </w:p>
    <w:p w14:paraId="0A31B356"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b</w:t>
      </w:r>
      <w:r w:rsidRPr="004B6007">
        <w:rPr>
          <w:rFonts w:asciiTheme="majorHAnsi" w:eastAsia="Times New Roman" w:hAnsiTheme="majorHAnsi" w:cs="Times New Roman"/>
          <w:kern w:val="14"/>
          <w:sz w:val="18"/>
          <w:szCs w:val="20"/>
          <w:lang w:val="nl-NL" w:eastAsia="nl-NL"/>
        </w:rPr>
        <w:tab/>
        <w:t>de nevenwerkzaamheden schade aan de wetenschappelijke- en zakelijke belangen van de werkgever kunnen toebrengen;</w:t>
      </w:r>
    </w:p>
    <w:p w14:paraId="0A31B357" w14:textId="77777777" w:rsidR="00EA24B8" w:rsidRPr="004B6007" w:rsidRDefault="00EA24B8" w:rsidP="00EA24B8">
      <w:pPr>
        <w:tabs>
          <w:tab w:val="left" w:pos="567"/>
        </w:tabs>
        <w:spacing w:line="260" w:lineRule="exact"/>
        <w:ind w:left="567" w:hanging="567"/>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c</w:t>
      </w:r>
      <w:r w:rsidRPr="004B6007">
        <w:rPr>
          <w:rFonts w:asciiTheme="majorHAnsi" w:eastAsia="Times New Roman" w:hAnsiTheme="majorHAnsi" w:cs="Times New Roman"/>
          <w:kern w:val="14"/>
          <w:sz w:val="18"/>
          <w:szCs w:val="20"/>
          <w:lang w:val="nl-NL" w:eastAsia="nl-NL"/>
        </w:rPr>
        <w:tab/>
        <w:t>de nevenwerkzaamheden een goede uitoefening van de opgedragen functie in de weg kunnen staan.</w:t>
      </w:r>
    </w:p>
    <w:p w14:paraId="0A31B358"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59"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8 </w:t>
      </w:r>
    </w:p>
    <w:p w14:paraId="0A31B35A"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Het weigeren van toestemming of intrekking hiervan geschiedt schriftelijk en gemotiveerd, nadat de werknemer is gehoord.</w:t>
      </w:r>
    </w:p>
    <w:p w14:paraId="0A31B35B"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Tegen een afwijzende beslissing staan de werknemer de gebruikelijke bezwaar- en beroepsmogelijkheden ter beschikking.</w:t>
      </w:r>
    </w:p>
    <w:p w14:paraId="0A31B35C"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5D"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9 </w:t>
      </w:r>
    </w:p>
    <w:p w14:paraId="0A31B35E"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 xml:space="preserve">Nevenwerkzaamheden worden niet tijdens werktijd verricht, tenzij schriftelijk anders wordt overeengekomen. </w:t>
      </w:r>
    </w:p>
    <w:p w14:paraId="0A31B35F"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Vóór de inwerkingtreding van deze regeling gemaakte afspraken ten aanzien van het verrichten van nevenwerkzaamheden binnen werktijd zullen blijven gelden tot 1 september 2009.</w:t>
      </w:r>
    </w:p>
    <w:p w14:paraId="0A31B360"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61"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10 </w:t>
      </w:r>
    </w:p>
    <w:p w14:paraId="0A31B362"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Periodiek (bijvoorbeeld in de resultaat- en ontwikkelingsgesprekken) wordt geëvalueerd of de afspraken rond nevenwerkzaamheden actueel zijn en voldoen.</w:t>
      </w:r>
    </w:p>
    <w:p w14:paraId="0A31B363"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64"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11 </w:t>
      </w:r>
    </w:p>
    <w:p w14:paraId="0A31B365"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Niet naleving van deze regeling kan leiden tot toepassing van disciplinaire maatregelen.</w:t>
      </w:r>
    </w:p>
    <w:p w14:paraId="0A31B366"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lastRenderedPageBreak/>
        <w:t xml:space="preserve">Artikel 12 </w:t>
      </w:r>
    </w:p>
    <w:p w14:paraId="0A31B367"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 xml:space="preserve">In het kader van de planning- en </w:t>
      </w:r>
      <w:proofErr w:type="spellStart"/>
      <w:r w:rsidRPr="004B6007">
        <w:rPr>
          <w:rFonts w:asciiTheme="majorHAnsi" w:eastAsia="Times New Roman" w:hAnsiTheme="majorHAnsi" w:cs="Times New Roman"/>
          <w:kern w:val="14"/>
          <w:sz w:val="18"/>
          <w:szCs w:val="20"/>
          <w:lang w:val="nl-NL" w:eastAsia="nl-NL"/>
        </w:rPr>
        <w:t>controlcyclus</w:t>
      </w:r>
      <w:proofErr w:type="spellEnd"/>
      <w:r w:rsidRPr="004B6007">
        <w:rPr>
          <w:rFonts w:asciiTheme="majorHAnsi" w:eastAsia="Times New Roman" w:hAnsiTheme="majorHAnsi" w:cs="Times New Roman"/>
          <w:kern w:val="14"/>
          <w:sz w:val="18"/>
          <w:szCs w:val="20"/>
          <w:lang w:val="nl-NL" w:eastAsia="nl-NL"/>
        </w:rPr>
        <w:t xml:space="preserve"> rapporteren de directies jaarlijks aan het College van Bestuur over de uitvoering van de regeling nevenwerkzaamheden.</w:t>
      </w:r>
    </w:p>
    <w:p w14:paraId="0A31B368"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69"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 xml:space="preserve">Artikel 13 </w:t>
      </w:r>
      <w:r w:rsidRPr="004B6007">
        <w:rPr>
          <w:rFonts w:asciiTheme="majorHAnsi" w:eastAsia="Times New Roman" w:hAnsiTheme="majorHAnsi" w:cs="Times New Roman"/>
          <w:b/>
          <w:bCs/>
          <w:kern w:val="14"/>
          <w:sz w:val="18"/>
          <w:szCs w:val="20"/>
          <w:lang w:val="nl-NL" w:eastAsia="nl-NL"/>
        </w:rPr>
        <w:tab/>
        <w:t>Overgangsbepaling</w:t>
      </w:r>
    </w:p>
    <w:p w14:paraId="0A31B36A"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De toestemming voor het verrichten van nevenwerkzaamheden verleend vóór de inwerkingtreding van deze regeling blijft geldig conform de reeds gemaakte afspraken c.q. de duur van de nevenwerkzaamheid, doch uiterlijk tot één jaar na vaststelling van deze regeling.</w:t>
      </w:r>
    </w:p>
    <w:p w14:paraId="0A31B36B"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6C"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Artikel 14</w:t>
      </w:r>
      <w:r w:rsidRPr="004B6007">
        <w:rPr>
          <w:rFonts w:asciiTheme="majorHAnsi" w:eastAsia="Times New Roman" w:hAnsiTheme="majorHAnsi" w:cs="Times New Roman"/>
          <w:b/>
          <w:bCs/>
          <w:kern w:val="14"/>
          <w:sz w:val="18"/>
          <w:szCs w:val="20"/>
          <w:lang w:val="nl-NL" w:eastAsia="nl-NL"/>
        </w:rPr>
        <w:tab/>
        <w:t>Slotbepaling</w:t>
      </w:r>
    </w:p>
    <w:p w14:paraId="0A31B36D"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In de gevallen waarin toepassing van deze regeling niet voorziet of leidt tot een voor de werknemer onredelijke of onbillijke uitkomst, kan de werkgever deze regeling aanvullen of hiervan afwijken.</w:t>
      </w:r>
    </w:p>
    <w:p w14:paraId="0A31B36E"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p>
    <w:p w14:paraId="0A31B36F" w14:textId="77777777" w:rsidR="00EA24B8" w:rsidRPr="004B6007" w:rsidRDefault="00EA24B8" w:rsidP="00EA24B8">
      <w:pPr>
        <w:tabs>
          <w:tab w:val="left" w:pos="1418"/>
        </w:tabs>
        <w:spacing w:before="240" w:after="120" w:line="260" w:lineRule="exact"/>
        <w:ind w:left="1418" w:hanging="1418"/>
        <w:rPr>
          <w:rFonts w:asciiTheme="majorHAnsi" w:eastAsia="Times New Roman" w:hAnsiTheme="majorHAnsi" w:cs="Times New Roman"/>
          <w:b/>
          <w:bCs/>
          <w:kern w:val="14"/>
          <w:sz w:val="18"/>
          <w:szCs w:val="20"/>
          <w:lang w:val="nl-NL" w:eastAsia="nl-NL"/>
        </w:rPr>
      </w:pPr>
      <w:r w:rsidRPr="004B6007">
        <w:rPr>
          <w:rFonts w:asciiTheme="majorHAnsi" w:eastAsia="Times New Roman" w:hAnsiTheme="majorHAnsi" w:cs="Times New Roman"/>
          <w:b/>
          <w:bCs/>
          <w:kern w:val="14"/>
          <w:sz w:val="18"/>
          <w:szCs w:val="20"/>
          <w:lang w:val="nl-NL" w:eastAsia="nl-NL"/>
        </w:rPr>
        <w:t>Artikel 15</w:t>
      </w:r>
      <w:r w:rsidRPr="004B6007">
        <w:rPr>
          <w:rFonts w:asciiTheme="majorHAnsi" w:eastAsia="Times New Roman" w:hAnsiTheme="majorHAnsi" w:cs="Times New Roman"/>
          <w:b/>
          <w:bCs/>
          <w:kern w:val="14"/>
          <w:sz w:val="18"/>
          <w:szCs w:val="20"/>
          <w:lang w:val="nl-NL" w:eastAsia="nl-NL"/>
        </w:rPr>
        <w:tab/>
        <w:t>Citeertitel en inwerkingtreding</w:t>
      </w:r>
    </w:p>
    <w:p w14:paraId="0A31B370" w14:textId="77777777" w:rsidR="00EA24B8" w:rsidRPr="004B6007" w:rsidRDefault="00EA24B8" w:rsidP="00EA24B8">
      <w:pPr>
        <w:spacing w:line="260" w:lineRule="exact"/>
        <w:rPr>
          <w:rFonts w:asciiTheme="majorHAnsi" w:eastAsia="Times New Roman" w:hAnsiTheme="majorHAnsi" w:cs="Times New Roman"/>
          <w:kern w:val="14"/>
          <w:sz w:val="18"/>
          <w:szCs w:val="20"/>
          <w:lang w:val="nl-NL" w:eastAsia="nl-NL"/>
        </w:rPr>
      </w:pPr>
      <w:r w:rsidRPr="004B6007">
        <w:rPr>
          <w:rFonts w:asciiTheme="majorHAnsi" w:eastAsia="Times New Roman" w:hAnsiTheme="majorHAnsi" w:cs="Times New Roman"/>
          <w:kern w:val="14"/>
          <w:sz w:val="18"/>
          <w:szCs w:val="20"/>
          <w:lang w:val="nl-NL" w:eastAsia="nl-NL"/>
        </w:rPr>
        <w:t>Deze regeling wordt aangehaald als “Regeling Nevenwerkzaamheden Wageningen UR” en treedt in werking met ingang van 1 september 2006 onder gelijktijdige vervallenverklaring – met inachtneming van artikel 13 - van alle eerdere regelgeving ter zake nevenwerkzaamheden.</w:t>
      </w:r>
    </w:p>
    <w:sectPr w:rsidR="00EA24B8" w:rsidRPr="004B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B8"/>
    <w:rsid w:val="00195D73"/>
    <w:rsid w:val="0028171E"/>
    <w:rsid w:val="002F1630"/>
    <w:rsid w:val="00432F84"/>
    <w:rsid w:val="004B6007"/>
    <w:rsid w:val="00543E9D"/>
    <w:rsid w:val="005A4219"/>
    <w:rsid w:val="005D565A"/>
    <w:rsid w:val="00651A32"/>
    <w:rsid w:val="00717014"/>
    <w:rsid w:val="00767CA4"/>
    <w:rsid w:val="008C53F3"/>
    <w:rsid w:val="0090458B"/>
    <w:rsid w:val="009B09AE"/>
    <w:rsid w:val="009B3F8D"/>
    <w:rsid w:val="00A63C7D"/>
    <w:rsid w:val="00AC4D5D"/>
    <w:rsid w:val="00B81318"/>
    <w:rsid w:val="00C61161"/>
    <w:rsid w:val="00DE4ECA"/>
    <w:rsid w:val="00E83324"/>
    <w:rsid w:val="00EA24B8"/>
    <w:rsid w:val="00EF7C1B"/>
    <w:rsid w:val="00F246B1"/>
    <w:rsid w:val="00F62BC6"/>
    <w:rsid w:val="00F6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318"/>
    <w:pPr>
      <w:spacing w:after="0" w:line="240" w:lineRule="auto"/>
    </w:pPr>
  </w:style>
  <w:style w:type="paragraph" w:styleId="Kop1">
    <w:name w:val="heading 1"/>
    <w:basedOn w:val="Standaard"/>
    <w:next w:val="Standaard"/>
    <w:link w:val="Kop1Char"/>
    <w:uiPriority w:val="9"/>
    <w:qFormat/>
    <w:rsid w:val="00B81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813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8131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8131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B8131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B8131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B8131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813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1318"/>
    <w:pPr>
      <w:spacing w:after="0" w:line="240" w:lineRule="auto"/>
    </w:pPr>
  </w:style>
  <w:style w:type="character" w:customStyle="1" w:styleId="Kop1Char">
    <w:name w:val="Kop 1 Char"/>
    <w:basedOn w:val="Standaardalinea-lettertype"/>
    <w:link w:val="Kop1"/>
    <w:uiPriority w:val="9"/>
    <w:rsid w:val="00B8131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8131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81318"/>
    <w:rPr>
      <w:rFonts w:asciiTheme="majorHAnsi" w:eastAsiaTheme="majorEastAsia" w:hAnsiTheme="majorHAnsi" w:cstheme="majorBidi"/>
      <w:b/>
      <w:bCs/>
      <w:color w:val="4F81BD" w:themeColor="accent1"/>
      <w:sz w:val="17"/>
    </w:rPr>
  </w:style>
  <w:style w:type="character" w:customStyle="1" w:styleId="Kop4Char">
    <w:name w:val="Kop 4 Char"/>
    <w:basedOn w:val="Standaardalinea-lettertype"/>
    <w:link w:val="Kop4"/>
    <w:uiPriority w:val="9"/>
    <w:rsid w:val="00B81318"/>
    <w:rPr>
      <w:rFonts w:asciiTheme="majorHAnsi" w:eastAsiaTheme="majorEastAsia" w:hAnsiTheme="majorHAnsi" w:cstheme="majorBidi"/>
      <w:b/>
      <w:bCs/>
      <w:i/>
      <w:iCs/>
      <w:color w:val="4F81BD" w:themeColor="accent1"/>
      <w:sz w:val="17"/>
    </w:rPr>
  </w:style>
  <w:style w:type="character" w:customStyle="1" w:styleId="Kop5Char">
    <w:name w:val="Kop 5 Char"/>
    <w:basedOn w:val="Standaardalinea-lettertype"/>
    <w:link w:val="Kop5"/>
    <w:uiPriority w:val="9"/>
    <w:rsid w:val="00B81318"/>
    <w:rPr>
      <w:rFonts w:asciiTheme="majorHAnsi" w:eastAsiaTheme="majorEastAsia" w:hAnsiTheme="majorHAnsi" w:cstheme="majorBidi"/>
      <w:color w:val="243F60" w:themeColor="accent1" w:themeShade="7F"/>
      <w:sz w:val="17"/>
    </w:rPr>
  </w:style>
  <w:style w:type="character" w:customStyle="1" w:styleId="Kop6Char">
    <w:name w:val="Kop 6 Char"/>
    <w:basedOn w:val="Standaardalinea-lettertype"/>
    <w:link w:val="Kop6"/>
    <w:uiPriority w:val="9"/>
    <w:rsid w:val="00B81318"/>
    <w:rPr>
      <w:rFonts w:asciiTheme="majorHAnsi" w:eastAsiaTheme="majorEastAsia" w:hAnsiTheme="majorHAnsi" w:cstheme="majorBidi"/>
      <w:i/>
      <w:iCs/>
      <w:color w:val="243F60" w:themeColor="accent1" w:themeShade="7F"/>
      <w:sz w:val="17"/>
    </w:rPr>
  </w:style>
  <w:style w:type="character" w:customStyle="1" w:styleId="Kop7Char">
    <w:name w:val="Kop 7 Char"/>
    <w:basedOn w:val="Standaardalinea-lettertype"/>
    <w:link w:val="Kop7"/>
    <w:uiPriority w:val="9"/>
    <w:rsid w:val="00B81318"/>
    <w:rPr>
      <w:rFonts w:asciiTheme="majorHAnsi" w:eastAsiaTheme="majorEastAsia" w:hAnsiTheme="majorHAnsi" w:cstheme="majorBidi"/>
      <w:i/>
      <w:iCs/>
      <w:color w:val="404040" w:themeColor="text1" w:themeTint="BF"/>
      <w:sz w:val="17"/>
    </w:rPr>
  </w:style>
  <w:style w:type="character" w:customStyle="1" w:styleId="Kop8Char">
    <w:name w:val="Kop 8 Char"/>
    <w:basedOn w:val="Standaardalinea-lettertype"/>
    <w:link w:val="Kop8"/>
    <w:uiPriority w:val="9"/>
    <w:rsid w:val="00B8131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318"/>
    <w:pPr>
      <w:spacing w:after="0" w:line="240" w:lineRule="auto"/>
    </w:pPr>
  </w:style>
  <w:style w:type="paragraph" w:styleId="Kop1">
    <w:name w:val="heading 1"/>
    <w:basedOn w:val="Standaard"/>
    <w:next w:val="Standaard"/>
    <w:link w:val="Kop1Char"/>
    <w:uiPriority w:val="9"/>
    <w:qFormat/>
    <w:rsid w:val="00B81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813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8131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8131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B8131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B8131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B8131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813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1318"/>
    <w:pPr>
      <w:spacing w:after="0" w:line="240" w:lineRule="auto"/>
    </w:pPr>
  </w:style>
  <w:style w:type="character" w:customStyle="1" w:styleId="Kop1Char">
    <w:name w:val="Kop 1 Char"/>
    <w:basedOn w:val="Standaardalinea-lettertype"/>
    <w:link w:val="Kop1"/>
    <w:uiPriority w:val="9"/>
    <w:rsid w:val="00B8131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8131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81318"/>
    <w:rPr>
      <w:rFonts w:asciiTheme="majorHAnsi" w:eastAsiaTheme="majorEastAsia" w:hAnsiTheme="majorHAnsi" w:cstheme="majorBidi"/>
      <w:b/>
      <w:bCs/>
      <w:color w:val="4F81BD" w:themeColor="accent1"/>
      <w:sz w:val="17"/>
    </w:rPr>
  </w:style>
  <w:style w:type="character" w:customStyle="1" w:styleId="Kop4Char">
    <w:name w:val="Kop 4 Char"/>
    <w:basedOn w:val="Standaardalinea-lettertype"/>
    <w:link w:val="Kop4"/>
    <w:uiPriority w:val="9"/>
    <w:rsid w:val="00B81318"/>
    <w:rPr>
      <w:rFonts w:asciiTheme="majorHAnsi" w:eastAsiaTheme="majorEastAsia" w:hAnsiTheme="majorHAnsi" w:cstheme="majorBidi"/>
      <w:b/>
      <w:bCs/>
      <w:i/>
      <w:iCs/>
      <w:color w:val="4F81BD" w:themeColor="accent1"/>
      <w:sz w:val="17"/>
    </w:rPr>
  </w:style>
  <w:style w:type="character" w:customStyle="1" w:styleId="Kop5Char">
    <w:name w:val="Kop 5 Char"/>
    <w:basedOn w:val="Standaardalinea-lettertype"/>
    <w:link w:val="Kop5"/>
    <w:uiPriority w:val="9"/>
    <w:rsid w:val="00B81318"/>
    <w:rPr>
      <w:rFonts w:asciiTheme="majorHAnsi" w:eastAsiaTheme="majorEastAsia" w:hAnsiTheme="majorHAnsi" w:cstheme="majorBidi"/>
      <w:color w:val="243F60" w:themeColor="accent1" w:themeShade="7F"/>
      <w:sz w:val="17"/>
    </w:rPr>
  </w:style>
  <w:style w:type="character" w:customStyle="1" w:styleId="Kop6Char">
    <w:name w:val="Kop 6 Char"/>
    <w:basedOn w:val="Standaardalinea-lettertype"/>
    <w:link w:val="Kop6"/>
    <w:uiPriority w:val="9"/>
    <w:rsid w:val="00B81318"/>
    <w:rPr>
      <w:rFonts w:asciiTheme="majorHAnsi" w:eastAsiaTheme="majorEastAsia" w:hAnsiTheme="majorHAnsi" w:cstheme="majorBidi"/>
      <w:i/>
      <w:iCs/>
      <w:color w:val="243F60" w:themeColor="accent1" w:themeShade="7F"/>
      <w:sz w:val="17"/>
    </w:rPr>
  </w:style>
  <w:style w:type="character" w:customStyle="1" w:styleId="Kop7Char">
    <w:name w:val="Kop 7 Char"/>
    <w:basedOn w:val="Standaardalinea-lettertype"/>
    <w:link w:val="Kop7"/>
    <w:uiPriority w:val="9"/>
    <w:rsid w:val="00B81318"/>
    <w:rPr>
      <w:rFonts w:asciiTheme="majorHAnsi" w:eastAsiaTheme="majorEastAsia" w:hAnsiTheme="majorHAnsi" w:cstheme="majorBidi"/>
      <w:i/>
      <w:iCs/>
      <w:color w:val="404040" w:themeColor="text1" w:themeTint="BF"/>
      <w:sz w:val="17"/>
    </w:rPr>
  </w:style>
  <w:style w:type="character" w:customStyle="1" w:styleId="Kop8Char">
    <w:name w:val="Kop 8 Char"/>
    <w:basedOn w:val="Standaardalinea-lettertype"/>
    <w:link w:val="Kop8"/>
    <w:uiPriority w:val="9"/>
    <w:rsid w:val="00B8131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91196a62-607e-4424-91b9-33fced935988">21;#People;#33;#Employment conditions;#34;#Employees</Tags>
    <Audience xmlns="http://schemas.microsoft.com/sharepoint/v3">00000000-0000-0000-0000-000000000000;;;;</Audienc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811A4AA2F67469D18464F8AE02578" ma:contentTypeVersion="2" ma:contentTypeDescription="Een nieuw document maken." ma:contentTypeScope="" ma:versionID="c507ad0fe26dba41136a0d7f122f956d">
  <xsd:schema xmlns:xsd="http://www.w3.org/2001/XMLSchema" xmlns:xs="http://www.w3.org/2001/XMLSchema" xmlns:p="http://schemas.microsoft.com/office/2006/metadata/properties" xmlns:ns1="http://schemas.microsoft.com/sharepoint/v3" xmlns:ns2="91196a62-607e-4424-91b9-33fced935988" targetNamespace="http://schemas.microsoft.com/office/2006/metadata/properties" ma:root="true" ma:fieldsID="93e5418e613bcadbb2ddbe544a6b4d78" ns1:_="" ns2:_="">
    <xsd:import namespace="http://schemas.microsoft.com/sharepoint/v3"/>
    <xsd:import namespace="91196a62-607e-4424-91b9-33fced935988"/>
    <xsd:element name="properties">
      <xsd:complexType>
        <xsd:sequence>
          <xsd:element name="documentManagement">
            <xsd:complexType>
              <xsd:all>
                <xsd:element ref="ns1:PublishingStartDate" minOccurs="0"/>
                <xsd:element ref="ns1:PublishingExpirationDate" minOccurs="0"/>
                <xsd:element ref="ns1:Audience"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element name="Audience" ma:index="10" nillable="true" ma:displayName="Doelgroepen"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196a62-607e-4424-91b9-33fced935988" elementFormDefault="qualified">
    <xsd:import namespace="http://schemas.microsoft.com/office/2006/documentManagement/types"/>
    <xsd:import namespace="http://schemas.microsoft.com/office/infopath/2007/PartnerControls"/>
    <xsd:element name="Tags" ma:index="11" nillable="true" ma:displayName="Tags" ma:list="88ca81cb-9121-4225-a11d-82d3c76c1e5c" ma:internalName="Tags" ma:showField="DisplayString" ma:web="f2fa3d1d-b2dd-4b80-9b78-be81b570894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816DE-760F-4524-BC5B-7ACFB072EE76}">
  <ds:schemaRefs>
    <ds:schemaRef ds:uri="http://schemas.microsoft.com/sharepoint/v3/contenttype/forms"/>
  </ds:schemaRefs>
</ds:datastoreItem>
</file>

<file path=customXml/itemProps2.xml><?xml version="1.0" encoding="utf-8"?>
<ds:datastoreItem xmlns:ds="http://schemas.openxmlformats.org/officeDocument/2006/customXml" ds:itemID="{0CF4450D-771B-4FA8-908C-F689698A1771}">
  <ds:schemaRefs>
    <ds:schemaRef ds:uri="91196a62-607e-4424-91b9-33fced935988"/>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C293F8-26CC-4299-8AAF-40B96DA8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96a62-607e-4424-91b9-33fced935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Houten van, Marja</dc:creator>
  <cp:lastModifiedBy>Houten van, Marja</cp:lastModifiedBy>
  <cp:revision>2</cp:revision>
  <dcterms:created xsi:type="dcterms:W3CDTF">2015-04-20T11:38:00Z</dcterms:created>
  <dcterms:modified xsi:type="dcterms:W3CDTF">2015-04-20T11:38:00Z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0x010100A1B811A4AA2F67469D18464F8AE02578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