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1C57C8" w14:textId="77777777" w:rsidR="00072525" w:rsidRPr="00072525" w:rsidRDefault="005A7329" w:rsidP="002C7E0A">
      <w:pPr>
        <w:jc w:val="right"/>
        <w:rPr>
          <w:b/>
          <w:sz w:val="32"/>
          <w:szCs w:val="32"/>
        </w:rPr>
      </w:pPr>
      <w:r>
        <w:fldChar w:fldCharType="begin"/>
      </w:r>
      <w:r>
        <w:instrText xml:space="preserve"> HYPERLINK "http://www.afi.wur.nl" </w:instrText>
      </w:r>
      <w:r>
        <w:fldChar w:fldCharType="separate"/>
      </w:r>
      <w:r w:rsidR="00072525" w:rsidRPr="00072525">
        <w:rPr>
          <w:rStyle w:val="Hyperlink"/>
          <w:b/>
          <w:sz w:val="32"/>
          <w:szCs w:val="32"/>
        </w:rPr>
        <w:t>www.afi.wur.nl</w:t>
      </w:r>
      <w:r>
        <w:rPr>
          <w:rStyle w:val="Hyperlink"/>
          <w:b/>
          <w:sz w:val="32"/>
          <w:szCs w:val="32"/>
        </w:rPr>
        <w:fldChar w:fldCharType="end"/>
      </w:r>
    </w:p>
    <w:p w14:paraId="6B1C57C9" w14:textId="77777777" w:rsidR="00191AAE" w:rsidRPr="009F06AD" w:rsidRDefault="008748F3">
      <w:pPr>
        <w:rPr>
          <w:b/>
          <w:sz w:val="20"/>
          <w:szCs w:val="20"/>
        </w:rPr>
      </w:pPr>
      <w:r>
        <w:rPr>
          <w:b/>
          <w:sz w:val="20"/>
          <w:szCs w:val="20"/>
        </w:rPr>
        <w:t>THESIS</w:t>
      </w:r>
    </w:p>
    <w:tbl>
      <w:tblPr>
        <w:tblStyle w:val="TableGrid"/>
        <w:tblpPr w:leftFromText="180" w:rightFromText="180" w:vertAnchor="page" w:horzAnchor="margin" w:tblpY="2071"/>
        <w:tblW w:w="0" w:type="auto"/>
        <w:tblLook w:val="04A0" w:firstRow="1" w:lastRow="0" w:firstColumn="1" w:lastColumn="0" w:noHBand="0" w:noVBand="1"/>
      </w:tblPr>
      <w:tblGrid>
        <w:gridCol w:w="2235"/>
        <w:gridCol w:w="7007"/>
      </w:tblGrid>
      <w:tr w:rsidR="002C7E0A" w14:paraId="6B1C57CC" w14:textId="77777777" w:rsidTr="002C7E0A">
        <w:tc>
          <w:tcPr>
            <w:tcW w:w="2235" w:type="dxa"/>
          </w:tcPr>
          <w:p w14:paraId="6B1C57CA" w14:textId="77777777" w:rsidR="002C7E0A" w:rsidRPr="002306DE" w:rsidRDefault="002C7E0A" w:rsidP="002C7E0A">
            <w:pPr>
              <w:rPr>
                <w:b/>
              </w:rPr>
            </w:pPr>
            <w:r w:rsidRPr="002306DE">
              <w:rPr>
                <w:b/>
              </w:rPr>
              <w:t>TITLE</w:t>
            </w:r>
          </w:p>
        </w:tc>
        <w:tc>
          <w:tcPr>
            <w:tcW w:w="7007" w:type="dxa"/>
          </w:tcPr>
          <w:p w14:paraId="6B1C57CB" w14:textId="597A4298" w:rsidR="002C7E0A" w:rsidRPr="002306DE" w:rsidRDefault="00E945F4" w:rsidP="002C7E0A">
            <w:pPr>
              <w:rPr>
                <w:sz w:val="22"/>
              </w:rPr>
            </w:pPr>
            <w:proofErr w:type="spellStart"/>
            <w:r>
              <w:rPr>
                <w:sz w:val="22"/>
              </w:rPr>
              <w:t>Calprotectin</w:t>
            </w:r>
            <w:proofErr w:type="spellEnd"/>
            <w:r>
              <w:rPr>
                <w:sz w:val="22"/>
              </w:rPr>
              <w:t xml:space="preserve"> in Atlantic salmon</w:t>
            </w:r>
          </w:p>
        </w:tc>
      </w:tr>
      <w:tr w:rsidR="00213435" w14:paraId="6B1C57CF" w14:textId="77777777" w:rsidTr="002C7E0A">
        <w:tc>
          <w:tcPr>
            <w:tcW w:w="2235" w:type="dxa"/>
          </w:tcPr>
          <w:p w14:paraId="6B1C57CD" w14:textId="77777777" w:rsidR="00213435" w:rsidRDefault="00213435" w:rsidP="002C7E0A">
            <w:r>
              <w:t>RESEARCH QUESTION</w:t>
            </w:r>
          </w:p>
        </w:tc>
        <w:tc>
          <w:tcPr>
            <w:tcW w:w="7007" w:type="dxa"/>
          </w:tcPr>
          <w:p w14:paraId="6B1C57CE" w14:textId="1AE0FB46" w:rsidR="00213435" w:rsidRPr="00CA7B08" w:rsidRDefault="00E945F4" w:rsidP="002C7E0A">
            <w:pPr>
              <w:rPr>
                <w:sz w:val="20"/>
                <w:szCs w:val="20"/>
              </w:rPr>
            </w:pPr>
            <w:r w:rsidRPr="00E945F4">
              <w:rPr>
                <w:sz w:val="20"/>
                <w:szCs w:val="20"/>
              </w:rPr>
              <w:t xml:space="preserve">Can faecal </w:t>
            </w:r>
            <w:proofErr w:type="spellStart"/>
            <w:r w:rsidRPr="00E945F4">
              <w:rPr>
                <w:sz w:val="20"/>
                <w:szCs w:val="20"/>
              </w:rPr>
              <w:t>calprotectin</w:t>
            </w:r>
            <w:proofErr w:type="spellEnd"/>
            <w:r w:rsidRPr="00E945F4">
              <w:rPr>
                <w:sz w:val="20"/>
                <w:szCs w:val="20"/>
              </w:rPr>
              <w:t xml:space="preserve"> be used as a non-invasive marker of intestinal inflammation in </w:t>
            </w:r>
            <w:proofErr w:type="spellStart"/>
            <w:r w:rsidRPr="00E945F4">
              <w:rPr>
                <w:sz w:val="20"/>
                <w:szCs w:val="20"/>
              </w:rPr>
              <w:t>Salmo</w:t>
            </w:r>
            <w:proofErr w:type="spellEnd"/>
            <w:r w:rsidRPr="00E945F4">
              <w:rPr>
                <w:sz w:val="20"/>
                <w:szCs w:val="20"/>
              </w:rPr>
              <w:t xml:space="preserve"> </w:t>
            </w:r>
            <w:proofErr w:type="spellStart"/>
            <w:r w:rsidRPr="00E945F4">
              <w:rPr>
                <w:sz w:val="20"/>
                <w:szCs w:val="20"/>
              </w:rPr>
              <w:t>salar</w:t>
            </w:r>
            <w:proofErr w:type="spellEnd"/>
            <w:r w:rsidRPr="00E945F4">
              <w:rPr>
                <w:sz w:val="20"/>
                <w:szCs w:val="20"/>
              </w:rPr>
              <w:t>?</w:t>
            </w:r>
          </w:p>
        </w:tc>
      </w:tr>
      <w:tr w:rsidR="002C7E0A" w14:paraId="6B1C57D2" w14:textId="77777777" w:rsidTr="002C7E0A">
        <w:tc>
          <w:tcPr>
            <w:tcW w:w="2235" w:type="dxa"/>
          </w:tcPr>
          <w:p w14:paraId="6B1C57D0" w14:textId="77777777" w:rsidR="002C7E0A" w:rsidRDefault="002C7E0A" w:rsidP="002C7E0A">
            <w:r>
              <w:t>SUPERVISOR</w:t>
            </w:r>
          </w:p>
        </w:tc>
        <w:tc>
          <w:tcPr>
            <w:tcW w:w="7007" w:type="dxa"/>
          </w:tcPr>
          <w:p w14:paraId="6B1C57D1" w14:textId="6C58302F" w:rsidR="002C7E0A" w:rsidRPr="00CA7B08" w:rsidRDefault="00E945F4" w:rsidP="002C7E0A">
            <w:pPr>
              <w:rPr>
                <w:sz w:val="20"/>
                <w:szCs w:val="20"/>
              </w:rPr>
            </w:pPr>
            <w:r>
              <w:rPr>
                <w:sz w:val="20"/>
                <w:szCs w:val="20"/>
              </w:rPr>
              <w:t>Arjen Roem</w:t>
            </w:r>
            <w:r w:rsidR="00D65215">
              <w:rPr>
                <w:sz w:val="20"/>
                <w:szCs w:val="20"/>
              </w:rPr>
              <w:t>/Matthew Owen</w:t>
            </w:r>
          </w:p>
        </w:tc>
      </w:tr>
      <w:tr w:rsidR="002C7E0A" w14:paraId="6B1C57D5" w14:textId="77777777" w:rsidTr="002C7E0A">
        <w:tc>
          <w:tcPr>
            <w:tcW w:w="2235" w:type="dxa"/>
          </w:tcPr>
          <w:p w14:paraId="6B1C57D3" w14:textId="77777777" w:rsidR="002C7E0A" w:rsidRDefault="002C7E0A" w:rsidP="002C7E0A">
            <w:r>
              <w:t>LOCATION</w:t>
            </w:r>
          </w:p>
        </w:tc>
        <w:tc>
          <w:tcPr>
            <w:tcW w:w="7007" w:type="dxa"/>
          </w:tcPr>
          <w:p w14:paraId="6B1C57D4" w14:textId="7EE48190" w:rsidR="002C7E0A" w:rsidRPr="00CA7B08" w:rsidRDefault="00E945F4" w:rsidP="00DE2573">
            <w:pPr>
              <w:rPr>
                <w:sz w:val="20"/>
                <w:szCs w:val="20"/>
              </w:rPr>
            </w:pPr>
            <w:r>
              <w:rPr>
                <w:sz w:val="20"/>
                <w:szCs w:val="20"/>
              </w:rPr>
              <w:t xml:space="preserve">Wageningen </w:t>
            </w:r>
            <w:r w:rsidR="00DE2573">
              <w:rPr>
                <w:sz w:val="20"/>
                <w:szCs w:val="20"/>
              </w:rPr>
              <w:t>flexible</w:t>
            </w:r>
          </w:p>
        </w:tc>
      </w:tr>
      <w:tr w:rsidR="002C7E0A" w14:paraId="6B1C57D8" w14:textId="77777777" w:rsidTr="002C7E0A">
        <w:tc>
          <w:tcPr>
            <w:tcW w:w="2235" w:type="dxa"/>
          </w:tcPr>
          <w:p w14:paraId="6B1C57D6" w14:textId="77777777" w:rsidR="002C7E0A" w:rsidRDefault="002C7E0A" w:rsidP="002C7E0A">
            <w:r>
              <w:t>PERIOD</w:t>
            </w:r>
          </w:p>
        </w:tc>
        <w:tc>
          <w:tcPr>
            <w:tcW w:w="7007" w:type="dxa"/>
          </w:tcPr>
          <w:p w14:paraId="6B1C57D7" w14:textId="1F4B6D9F" w:rsidR="002C7E0A" w:rsidRPr="00CA7B08" w:rsidRDefault="00E945F4" w:rsidP="002C7E0A">
            <w:pPr>
              <w:rPr>
                <w:sz w:val="20"/>
                <w:szCs w:val="20"/>
              </w:rPr>
            </w:pPr>
            <w:r>
              <w:rPr>
                <w:sz w:val="20"/>
                <w:szCs w:val="20"/>
              </w:rPr>
              <w:t>2013-2015</w:t>
            </w:r>
            <w:r w:rsidR="00DE2573">
              <w:rPr>
                <w:sz w:val="20"/>
                <w:szCs w:val="20"/>
              </w:rPr>
              <w:t xml:space="preserve"> flexible</w:t>
            </w:r>
          </w:p>
        </w:tc>
      </w:tr>
      <w:tr w:rsidR="002306DE" w14:paraId="6B1C57DA" w14:textId="77777777" w:rsidTr="00414BE8">
        <w:tc>
          <w:tcPr>
            <w:tcW w:w="9242" w:type="dxa"/>
            <w:gridSpan w:val="2"/>
          </w:tcPr>
          <w:p w14:paraId="6B1C57D9" w14:textId="77777777" w:rsidR="002306DE" w:rsidRPr="00CA7B08" w:rsidRDefault="002306DE" w:rsidP="002306DE">
            <w:pPr>
              <w:rPr>
                <w:sz w:val="20"/>
                <w:szCs w:val="20"/>
              </w:rPr>
            </w:pPr>
            <w:r w:rsidRPr="002306DE">
              <w:rPr>
                <w:color w:val="0070C0"/>
                <w:u w:val="single"/>
              </w:rPr>
              <w:t>LINK FOR MORE INFORMATION</w:t>
            </w:r>
            <w:r>
              <w:t xml:space="preserve">  </w:t>
            </w:r>
            <w:r w:rsidRPr="001F11CA">
              <w:rPr>
                <w:color w:val="0070C0"/>
                <w:sz w:val="20"/>
                <w:szCs w:val="20"/>
              </w:rPr>
              <w:t xml:space="preserve">LINK IS MADE BY AFI SECRETARIAT! </w:t>
            </w:r>
          </w:p>
        </w:tc>
      </w:tr>
    </w:tbl>
    <w:p w14:paraId="2E00B623" w14:textId="77777777" w:rsidR="00D65215" w:rsidRDefault="00D65215">
      <w:pPr>
        <w:rPr>
          <w:b/>
          <w:sz w:val="20"/>
          <w:szCs w:val="20"/>
        </w:rPr>
      </w:pPr>
    </w:p>
    <w:p w14:paraId="6B1C57DC" w14:textId="77777777" w:rsidR="00F05273" w:rsidRPr="009F06AD" w:rsidRDefault="00F05273">
      <w:pPr>
        <w:rPr>
          <w:b/>
          <w:sz w:val="20"/>
          <w:szCs w:val="20"/>
        </w:rPr>
      </w:pPr>
      <w:r w:rsidRPr="009F06AD">
        <w:rPr>
          <w:b/>
          <w:sz w:val="20"/>
          <w:szCs w:val="20"/>
        </w:rPr>
        <w:t>MORE INFORMATION</w:t>
      </w:r>
      <w:r w:rsidR="008E50B6">
        <w:rPr>
          <w:b/>
          <w:sz w:val="20"/>
          <w:szCs w:val="20"/>
        </w:rPr>
        <w:t xml:space="preserve"> (if available)</w:t>
      </w:r>
    </w:p>
    <w:tbl>
      <w:tblPr>
        <w:tblStyle w:val="TableGrid"/>
        <w:tblW w:w="0" w:type="auto"/>
        <w:tblLook w:val="04A0" w:firstRow="1" w:lastRow="0" w:firstColumn="1" w:lastColumn="0" w:noHBand="0" w:noVBand="1"/>
      </w:tblPr>
      <w:tblGrid>
        <w:gridCol w:w="9242"/>
      </w:tblGrid>
      <w:tr w:rsidR="00F05273" w:rsidRPr="00F05273" w14:paraId="6B1C57DE" w14:textId="77777777" w:rsidTr="00F05273">
        <w:tc>
          <w:tcPr>
            <w:tcW w:w="9242" w:type="dxa"/>
          </w:tcPr>
          <w:p w14:paraId="6B1C57DD" w14:textId="77777777" w:rsidR="00F05273" w:rsidRPr="00F05273" w:rsidRDefault="002306DE" w:rsidP="00F05273">
            <w:pPr>
              <w:rPr>
                <w:sz w:val="20"/>
                <w:szCs w:val="20"/>
              </w:rPr>
            </w:pPr>
            <w:r>
              <w:rPr>
                <w:sz w:val="20"/>
                <w:szCs w:val="20"/>
              </w:rPr>
              <w:t>SHORT DESCRIPTION</w:t>
            </w:r>
          </w:p>
        </w:tc>
      </w:tr>
      <w:tr w:rsidR="00F05273" w:rsidRPr="00F05273" w14:paraId="6B1C57E7" w14:textId="77777777" w:rsidTr="00F05273">
        <w:tc>
          <w:tcPr>
            <w:tcW w:w="9242" w:type="dxa"/>
          </w:tcPr>
          <w:p w14:paraId="562BB621" w14:textId="77777777" w:rsidR="00E945F4" w:rsidRDefault="00E945F4" w:rsidP="00E945F4">
            <w:pPr>
              <w:jc w:val="both"/>
            </w:pPr>
            <w:r>
              <w:t xml:space="preserve">The drive to reduce the use of unsustainable marine derived proteins in formulated feeds for intensively cultured fish has led to an increase in the use of plant protein sources, however these plant proteins contain anti-nutritional factors, such as complex sugars and soy </w:t>
            </w:r>
            <w:proofErr w:type="spellStart"/>
            <w:r>
              <w:t>saponins</w:t>
            </w:r>
            <w:proofErr w:type="spellEnd"/>
            <w:r>
              <w:t xml:space="preserve">, which have been proven to induce inflammation in the hind gut of </w:t>
            </w:r>
            <w:proofErr w:type="spellStart"/>
            <w:r>
              <w:rPr>
                <w:i/>
              </w:rPr>
              <w:t>Salmo</w:t>
            </w:r>
            <w:proofErr w:type="spellEnd"/>
            <w:r>
              <w:rPr>
                <w:i/>
              </w:rPr>
              <w:t xml:space="preserve"> </w:t>
            </w:r>
            <w:proofErr w:type="spellStart"/>
            <w:r>
              <w:rPr>
                <w:i/>
              </w:rPr>
              <w:t>salar</w:t>
            </w:r>
            <w:proofErr w:type="spellEnd"/>
            <w:r>
              <w:t xml:space="preserve"> </w:t>
            </w:r>
            <w:r>
              <w:rPr>
                <w:noProof/>
              </w:rPr>
              <w:t>(Baeverfjord and Krogdahl 1996)</w:t>
            </w:r>
            <w:r>
              <w:t xml:space="preserve">. This inflammation is characterised by a shortening of the villus folds, a loss of enterocyte vacuolisation, and an infiltration of </w:t>
            </w:r>
            <w:proofErr w:type="spellStart"/>
            <w:r>
              <w:t>eosinophillic</w:t>
            </w:r>
            <w:proofErr w:type="spellEnd"/>
            <w:r>
              <w:t xml:space="preserve"> granule cells around the basal membranes of the lumen </w:t>
            </w:r>
            <w:r>
              <w:rPr>
                <w:noProof/>
              </w:rPr>
              <w:t>(Bakke-McKellep, Press et al. 2000; Krogdahl, Bakke-McKellep et al. 2003; Bakke-McKellep, Penn et al. 2007)</w:t>
            </w:r>
            <w:r>
              <w:t xml:space="preserve">. However these diagnostic measures can only be presently performed post mortem. Thus a non-invasive marker of inflammation would be of great value in determining the incidence and severity of gastro-intestinal inflammation in fish experiencing enteritis. Non-invasive markers would also allow a streamlining of the work required to investigate amelioration strategies to increase the use of sustainable proteins in </w:t>
            </w:r>
            <w:proofErr w:type="spellStart"/>
            <w:r>
              <w:t>aquafeeds</w:t>
            </w:r>
            <w:proofErr w:type="spellEnd"/>
            <w:r>
              <w:t>.</w:t>
            </w:r>
          </w:p>
          <w:p w14:paraId="5CA128E6" w14:textId="77777777" w:rsidR="00DE2573" w:rsidRDefault="00DE2573" w:rsidP="00E945F4">
            <w:pPr>
              <w:jc w:val="both"/>
            </w:pPr>
          </w:p>
          <w:p w14:paraId="6B1C57E6" w14:textId="1A7D14C3" w:rsidR="00F05273" w:rsidRPr="00B71F03" w:rsidRDefault="00E945F4" w:rsidP="00B71F03">
            <w:pPr>
              <w:jc w:val="both"/>
            </w:pPr>
            <w:proofErr w:type="spellStart"/>
            <w:r>
              <w:t>Calprotectin</w:t>
            </w:r>
            <w:proofErr w:type="spellEnd"/>
            <w:r>
              <w:t xml:space="preserve"> is a calcium and zinc binding protein that accounts for up to 40% of the </w:t>
            </w:r>
            <w:proofErr w:type="spellStart"/>
            <w:r>
              <w:t>cytostol</w:t>
            </w:r>
            <w:proofErr w:type="spellEnd"/>
            <w:r>
              <w:t xml:space="preserve"> of the human neutrophil. </w:t>
            </w:r>
            <w:proofErr w:type="spellStart"/>
            <w:r>
              <w:t>Calprotectin</w:t>
            </w:r>
            <w:proofErr w:type="spellEnd"/>
            <w:r>
              <w:t xml:space="preserve"> levels have been proven to strongly correlate to 111 indium labelled leukocyte infiltration around the intestine during irritable bowel syndrome, which is widely viewed to be the best current method for quantifying inflammation in the human gut </w:t>
            </w:r>
            <w:r>
              <w:rPr>
                <w:noProof/>
              </w:rPr>
              <w:t>(Tibble, Teahon et al. 2000)</w:t>
            </w:r>
            <w:r>
              <w:t xml:space="preserve">. Due to the stable nature of </w:t>
            </w:r>
            <w:proofErr w:type="spellStart"/>
            <w:r>
              <w:t>calprotectin</w:t>
            </w:r>
            <w:proofErr w:type="spellEnd"/>
            <w:r>
              <w:t xml:space="preserve">, and it’s resistance to enzymatic degradation, it can be easily measured, using commercially available ELISA based test kits, in the faeces of affected individuals. Faecal and blood serum </w:t>
            </w:r>
            <w:proofErr w:type="spellStart"/>
            <w:r>
              <w:t>calprotectin</w:t>
            </w:r>
            <w:proofErr w:type="spellEnd"/>
            <w:r>
              <w:t xml:space="preserve"> levels have been proven to correlate to intestinal inflammation in humans and dogs </w:t>
            </w:r>
            <w:r>
              <w:rPr>
                <w:noProof/>
              </w:rPr>
              <w:t>(Tibble, Teahon et al. 2000; Heilmann, Suchodolski et al. 2008)</w:t>
            </w:r>
            <w:r>
              <w:t xml:space="preserve"> however there are currently no reports of its use in </w:t>
            </w:r>
            <w:proofErr w:type="spellStart"/>
            <w:r>
              <w:t>teleosts</w:t>
            </w:r>
            <w:proofErr w:type="spellEnd"/>
            <w:r>
              <w:t>.</w:t>
            </w:r>
          </w:p>
        </w:tc>
      </w:tr>
    </w:tbl>
    <w:p w14:paraId="6B1C57E8" w14:textId="77777777" w:rsidR="00F05273" w:rsidRPr="009F06AD" w:rsidRDefault="00F05273" w:rsidP="00F05273">
      <w:pPr>
        <w:rPr>
          <w:sz w:val="8"/>
          <w:szCs w:val="8"/>
        </w:rPr>
      </w:pPr>
    </w:p>
    <w:tbl>
      <w:tblPr>
        <w:tblStyle w:val="TableGrid"/>
        <w:tblW w:w="0" w:type="auto"/>
        <w:tblLook w:val="04A0" w:firstRow="1" w:lastRow="0" w:firstColumn="1" w:lastColumn="0" w:noHBand="0" w:noVBand="1"/>
      </w:tblPr>
      <w:tblGrid>
        <w:gridCol w:w="9242"/>
      </w:tblGrid>
      <w:tr w:rsidR="00F05273" w:rsidRPr="00F05273" w14:paraId="6B1C57EA" w14:textId="77777777" w:rsidTr="00F05273">
        <w:tc>
          <w:tcPr>
            <w:tcW w:w="9242" w:type="dxa"/>
          </w:tcPr>
          <w:p w14:paraId="6B1C57E9" w14:textId="77777777" w:rsidR="00F05273" w:rsidRPr="00F05273" w:rsidRDefault="009044E2" w:rsidP="00F05273">
            <w:pPr>
              <w:rPr>
                <w:sz w:val="20"/>
                <w:szCs w:val="20"/>
              </w:rPr>
            </w:pPr>
            <w:r>
              <w:rPr>
                <w:sz w:val="20"/>
                <w:szCs w:val="20"/>
              </w:rPr>
              <w:t>RESEARCH AIM/ SCOPE</w:t>
            </w:r>
          </w:p>
        </w:tc>
      </w:tr>
      <w:tr w:rsidR="00F05273" w:rsidRPr="00F05273" w14:paraId="6B1C57F3" w14:textId="77777777" w:rsidTr="00F05273">
        <w:tc>
          <w:tcPr>
            <w:tcW w:w="9242" w:type="dxa"/>
          </w:tcPr>
          <w:p w14:paraId="6B1C57F2" w14:textId="0AA9816F" w:rsidR="00F05273" w:rsidRPr="00B71F03" w:rsidRDefault="00DE2573" w:rsidP="00B71F03">
            <w:pPr>
              <w:jc w:val="both"/>
            </w:pPr>
            <w:r>
              <w:t xml:space="preserve">We therefore propose to investigate if faecal </w:t>
            </w:r>
            <w:proofErr w:type="spellStart"/>
            <w:r>
              <w:t>calprotectin</w:t>
            </w:r>
            <w:proofErr w:type="spellEnd"/>
            <w:r>
              <w:t xml:space="preserve"> can be recovered from the faeces of fish with intestinal inflammation and compared to fish without inflammation. If successful we can then correlate this back to the validated quantitative histology measures currently used.</w:t>
            </w:r>
          </w:p>
        </w:tc>
      </w:tr>
    </w:tbl>
    <w:p w14:paraId="6B1C57F4" w14:textId="77777777" w:rsidR="00F05273" w:rsidRPr="009F06AD" w:rsidRDefault="00F05273"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6" w14:textId="77777777" w:rsidTr="009F06AD">
        <w:tc>
          <w:tcPr>
            <w:tcW w:w="9242" w:type="dxa"/>
          </w:tcPr>
          <w:p w14:paraId="6B1C57F5" w14:textId="77777777" w:rsidR="009F06AD" w:rsidRPr="00F05273" w:rsidRDefault="009F06AD" w:rsidP="009F06AD">
            <w:pPr>
              <w:rPr>
                <w:sz w:val="20"/>
                <w:szCs w:val="20"/>
              </w:rPr>
            </w:pPr>
            <w:r>
              <w:rPr>
                <w:sz w:val="20"/>
                <w:szCs w:val="20"/>
              </w:rPr>
              <w:t>REQUIREMENTS</w:t>
            </w:r>
          </w:p>
        </w:tc>
      </w:tr>
      <w:tr w:rsidR="009F06AD" w:rsidRPr="00F05273" w14:paraId="6B1C57FB" w14:textId="77777777" w:rsidTr="009F06AD">
        <w:tc>
          <w:tcPr>
            <w:tcW w:w="9242" w:type="dxa"/>
          </w:tcPr>
          <w:p w14:paraId="6B1C57F7" w14:textId="0F0F5716" w:rsidR="009F06AD" w:rsidRDefault="00DE2573" w:rsidP="009F06AD">
            <w:pPr>
              <w:rPr>
                <w:sz w:val="20"/>
                <w:szCs w:val="20"/>
              </w:rPr>
            </w:pPr>
            <w:r>
              <w:rPr>
                <w:sz w:val="20"/>
                <w:szCs w:val="20"/>
              </w:rPr>
              <w:t>Experience in molecular and immunological techniques is an advantage.</w:t>
            </w:r>
          </w:p>
          <w:p w14:paraId="6B1C57FA" w14:textId="00EFCD74" w:rsidR="009F06AD" w:rsidRPr="00F05273" w:rsidRDefault="00DE2573" w:rsidP="009F06AD">
            <w:pPr>
              <w:rPr>
                <w:sz w:val="20"/>
                <w:szCs w:val="20"/>
              </w:rPr>
            </w:pPr>
            <w:r>
              <w:rPr>
                <w:sz w:val="20"/>
                <w:szCs w:val="20"/>
              </w:rPr>
              <w:t xml:space="preserve">Project requires </w:t>
            </w:r>
            <w:r w:rsidR="00B71F03">
              <w:rPr>
                <w:sz w:val="20"/>
                <w:szCs w:val="20"/>
              </w:rPr>
              <w:t xml:space="preserve">preliminary preparations before the MSc can start, so careful planning is essential. </w:t>
            </w:r>
          </w:p>
        </w:tc>
      </w:tr>
    </w:tbl>
    <w:p w14:paraId="6B1C57FC" w14:textId="77777777" w:rsidR="009F06AD" w:rsidRPr="009F06AD" w:rsidRDefault="009F06AD" w:rsidP="00F05273">
      <w:pPr>
        <w:rPr>
          <w:sz w:val="8"/>
          <w:szCs w:val="8"/>
        </w:rPr>
      </w:pPr>
    </w:p>
    <w:tbl>
      <w:tblPr>
        <w:tblStyle w:val="TableGrid"/>
        <w:tblW w:w="0" w:type="auto"/>
        <w:tblLook w:val="04A0" w:firstRow="1" w:lastRow="0" w:firstColumn="1" w:lastColumn="0" w:noHBand="0" w:noVBand="1"/>
      </w:tblPr>
      <w:tblGrid>
        <w:gridCol w:w="9242"/>
      </w:tblGrid>
      <w:tr w:rsidR="009F06AD" w:rsidRPr="00F05273" w14:paraId="6B1C57FE" w14:textId="77777777" w:rsidTr="009F06AD">
        <w:tc>
          <w:tcPr>
            <w:tcW w:w="9242" w:type="dxa"/>
          </w:tcPr>
          <w:p w14:paraId="6B1C57FD" w14:textId="77777777" w:rsidR="009F06AD" w:rsidRPr="00F05273" w:rsidRDefault="009F06AD" w:rsidP="009F06AD">
            <w:pPr>
              <w:rPr>
                <w:sz w:val="20"/>
                <w:szCs w:val="20"/>
              </w:rPr>
            </w:pPr>
            <w:r>
              <w:rPr>
                <w:sz w:val="20"/>
                <w:szCs w:val="20"/>
              </w:rPr>
              <w:t>OTHER INFORMATION</w:t>
            </w:r>
          </w:p>
        </w:tc>
      </w:tr>
      <w:tr w:rsidR="009F06AD" w:rsidRPr="00F05273" w14:paraId="6B1C5803" w14:textId="77777777" w:rsidTr="009F06AD">
        <w:tc>
          <w:tcPr>
            <w:tcW w:w="9242" w:type="dxa"/>
          </w:tcPr>
          <w:p w14:paraId="63A42826" w14:textId="0E33F7B7" w:rsidR="00E945F4" w:rsidRDefault="00B71F03" w:rsidP="00E945F4">
            <w:pPr>
              <w:pStyle w:val="PlainText"/>
            </w:pPr>
            <w:r>
              <w:t>Project includes the following steps:</w:t>
            </w:r>
          </w:p>
          <w:p w14:paraId="2BA5349D" w14:textId="669DF46F" w:rsidR="00E945F4" w:rsidRDefault="00B71F03" w:rsidP="00E945F4">
            <w:pPr>
              <w:pStyle w:val="PlainText"/>
            </w:pPr>
            <w:r>
              <w:t xml:space="preserve">- identify genetic code of </w:t>
            </w:r>
            <w:r w:rsidR="00E945F4">
              <w:t xml:space="preserve">salmon </w:t>
            </w:r>
            <w:proofErr w:type="spellStart"/>
            <w:r w:rsidR="00E945F4">
              <w:t>calprotectin</w:t>
            </w:r>
            <w:proofErr w:type="spellEnd"/>
            <w:r w:rsidR="00E945F4">
              <w:t xml:space="preserve"> </w:t>
            </w:r>
            <w:r>
              <w:t>from literature</w:t>
            </w:r>
          </w:p>
          <w:p w14:paraId="7BE039B5" w14:textId="01BB77F4" w:rsidR="00E945F4" w:rsidRDefault="00E945F4" w:rsidP="00E945F4">
            <w:pPr>
              <w:pStyle w:val="PlainText"/>
            </w:pPr>
            <w:r>
              <w:t xml:space="preserve">- </w:t>
            </w:r>
            <w:r w:rsidR="00B71F03">
              <w:t>outsource design of</w:t>
            </w:r>
            <w:r>
              <w:t xml:space="preserve"> 3-</w:t>
            </w:r>
            <w:r w:rsidR="00B71F03">
              <w:t>D</w:t>
            </w:r>
            <w:r>
              <w:t xml:space="preserve"> molecular model of </w:t>
            </w:r>
            <w:proofErr w:type="spellStart"/>
            <w:r>
              <w:t>calprotectin</w:t>
            </w:r>
            <w:proofErr w:type="spellEnd"/>
            <w:r>
              <w:t xml:space="preserve"> to identify active site</w:t>
            </w:r>
          </w:p>
          <w:p w14:paraId="6412CA51" w14:textId="5673E695" w:rsidR="00E945F4" w:rsidRDefault="00E945F4" w:rsidP="00E945F4">
            <w:pPr>
              <w:pStyle w:val="PlainText"/>
            </w:pPr>
            <w:r>
              <w:t xml:space="preserve">- </w:t>
            </w:r>
            <w:r w:rsidR="00B71F03">
              <w:t xml:space="preserve">outsource production of specific </w:t>
            </w:r>
            <w:r>
              <w:t>peptide of active site</w:t>
            </w:r>
          </w:p>
          <w:p w14:paraId="3FE85F1E" w14:textId="20BB7962" w:rsidR="00E945F4" w:rsidRDefault="00E945F4" w:rsidP="00E945F4">
            <w:pPr>
              <w:pStyle w:val="PlainText"/>
            </w:pPr>
            <w:r>
              <w:t xml:space="preserve">- </w:t>
            </w:r>
            <w:r w:rsidR="00B71F03">
              <w:t>produce</w:t>
            </w:r>
            <w:r>
              <w:t xml:space="preserve"> antibodies against this peptide (rabbits or chicken eggs)</w:t>
            </w:r>
          </w:p>
          <w:p w14:paraId="5095C5A2" w14:textId="77777777" w:rsidR="00E945F4" w:rsidRDefault="00E945F4" w:rsidP="00E945F4">
            <w:pPr>
              <w:pStyle w:val="PlainText"/>
            </w:pPr>
            <w:r>
              <w:t>- develop Elisa with antibodies</w:t>
            </w:r>
          </w:p>
          <w:p w14:paraId="1CCBB97C" w14:textId="77777777" w:rsidR="00E945F4" w:rsidRDefault="00E945F4" w:rsidP="00E945F4">
            <w:pPr>
              <w:pStyle w:val="PlainText"/>
            </w:pPr>
            <w:r>
              <w:t>- test faeces samples</w:t>
            </w:r>
          </w:p>
          <w:p w14:paraId="025F9A03" w14:textId="77777777" w:rsidR="009F06AD" w:rsidRDefault="00B71F03" w:rsidP="00B71F03">
            <w:pPr>
              <w:pStyle w:val="PlainText"/>
            </w:pPr>
            <w:r>
              <w:t>- data-analysis and thesis writing/reporting</w:t>
            </w:r>
          </w:p>
          <w:p w14:paraId="6B1C5802" w14:textId="374A0724" w:rsidR="00D65215" w:rsidRPr="00B71F03" w:rsidRDefault="00D65215" w:rsidP="00B71F03">
            <w:pPr>
              <w:pStyle w:val="PlainText"/>
            </w:pPr>
            <w:r>
              <w:t>Co-supervision will be sought with Dept. Immunology at WUR.</w:t>
            </w:r>
          </w:p>
        </w:tc>
      </w:tr>
    </w:tbl>
    <w:p w14:paraId="6B1C5804" w14:textId="77777777" w:rsidR="009F06AD" w:rsidRDefault="009F06AD" w:rsidP="00D65215">
      <w:pPr>
        <w:rPr>
          <w:sz w:val="20"/>
          <w:szCs w:val="20"/>
        </w:rPr>
      </w:pPr>
    </w:p>
    <w:sectPr w:rsidR="009F06AD" w:rsidSect="002C7E0A">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6C"/>
    <w:rsid w:val="000256E2"/>
    <w:rsid w:val="00072525"/>
    <w:rsid w:val="00191AAE"/>
    <w:rsid w:val="001F11CA"/>
    <w:rsid w:val="00213435"/>
    <w:rsid w:val="002306DE"/>
    <w:rsid w:val="002C7E0A"/>
    <w:rsid w:val="00367928"/>
    <w:rsid w:val="00427253"/>
    <w:rsid w:val="0055788F"/>
    <w:rsid w:val="00576BCC"/>
    <w:rsid w:val="00587D2A"/>
    <w:rsid w:val="005A3B94"/>
    <w:rsid w:val="005A7329"/>
    <w:rsid w:val="005B087C"/>
    <w:rsid w:val="005C20C2"/>
    <w:rsid w:val="005C2D6C"/>
    <w:rsid w:val="00611F56"/>
    <w:rsid w:val="007A52DF"/>
    <w:rsid w:val="008748F3"/>
    <w:rsid w:val="008E50B6"/>
    <w:rsid w:val="009044E2"/>
    <w:rsid w:val="009F06AD"/>
    <w:rsid w:val="00B71F03"/>
    <w:rsid w:val="00CA7B08"/>
    <w:rsid w:val="00D65215"/>
    <w:rsid w:val="00DE2573"/>
    <w:rsid w:val="00E24877"/>
    <w:rsid w:val="00E44F68"/>
    <w:rsid w:val="00E945F4"/>
    <w:rsid w:val="00F0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PlainText">
    <w:name w:val="Plain Text"/>
    <w:basedOn w:val="Normal"/>
    <w:link w:val="PlainTextChar"/>
    <w:uiPriority w:val="99"/>
    <w:unhideWhenUsed/>
    <w:rsid w:val="00E945F4"/>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rsid w:val="00E945F4"/>
    <w:rPr>
      <w:rFonts w:eastAsia="Times New Roman"/>
      <w:sz w:val="20"/>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PlainText">
    <w:name w:val="Plain Text"/>
    <w:basedOn w:val="Normal"/>
    <w:link w:val="PlainTextChar"/>
    <w:uiPriority w:val="99"/>
    <w:unhideWhenUsed/>
    <w:rsid w:val="00E945F4"/>
    <w:pPr>
      <w:spacing w:after="0" w:line="240" w:lineRule="auto"/>
    </w:pPr>
    <w:rPr>
      <w:rFonts w:eastAsia="Times New Roman"/>
      <w:sz w:val="20"/>
      <w:szCs w:val="21"/>
      <w:lang w:eastAsia="en-GB"/>
    </w:rPr>
  </w:style>
  <w:style w:type="character" w:customStyle="1" w:styleId="PlainTextChar">
    <w:name w:val="Plain Text Char"/>
    <w:basedOn w:val="DefaultParagraphFont"/>
    <w:link w:val="PlainText"/>
    <w:uiPriority w:val="99"/>
    <w:rsid w:val="00E945F4"/>
    <w:rPr>
      <w:rFonts w:eastAsia="Times New Roman"/>
      <w:sz w:val="20"/>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4381">
      <w:bodyDiv w:val="1"/>
      <w:marLeft w:val="0"/>
      <w:marRight w:val="0"/>
      <w:marTop w:val="0"/>
      <w:marBottom w:val="0"/>
      <w:divBdr>
        <w:top w:val="none" w:sz="0" w:space="0" w:color="auto"/>
        <w:left w:val="none" w:sz="0" w:space="0" w:color="auto"/>
        <w:bottom w:val="none" w:sz="0" w:space="0" w:color="auto"/>
        <w:right w:val="none" w:sz="0" w:space="0" w:color="auto"/>
      </w:divBdr>
    </w:div>
    <w:div w:id="1008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9AFC9FB8C8E41B7575339E75F2DF2" ma:contentTypeVersion="0" ma:contentTypeDescription="Create a new document." ma:contentTypeScope="" ma:versionID="6aee569f7aacfc1128c1d700d41633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E148C-6FA7-4FE8-9130-4D487523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429DC4-92B3-4CE3-916C-BC30AD616FA9}">
  <ds:schemaRef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98F62D1-4D1F-4EDE-A629-9405F7A7B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Geertje</dc:creator>
  <cp:lastModifiedBy>Halman, Eugenia</cp:lastModifiedBy>
  <cp:revision>2</cp:revision>
  <cp:lastPrinted>2011-02-17T13:20:00Z</cp:lastPrinted>
  <dcterms:created xsi:type="dcterms:W3CDTF">2013-09-05T12:12:00Z</dcterms:created>
  <dcterms:modified xsi:type="dcterms:W3CDTF">2013-09-05T12:12:00Z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0x01010019F9AFC9FB8C8E41B7575339E75F2DF2</vt:lpwstr>
  </property>
</Properties>
</file>