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1C57C8" w14:textId="77777777" w:rsidR="00072525" w:rsidRPr="00072525" w:rsidRDefault="005A7329" w:rsidP="002C7E0A">
      <w:pPr>
        <w:jc w:val="right"/>
        <w:rPr>
          <w:b/>
          <w:sz w:val="32"/>
          <w:szCs w:val="32"/>
        </w:rPr>
      </w:pPr>
      <w:r>
        <w:fldChar w:fldCharType="begin"/>
      </w:r>
      <w:r>
        <w:instrText xml:space="preserve"> HYPERLINK "http://www.afi.wur.nl" </w:instrText>
      </w:r>
      <w:r>
        <w:fldChar w:fldCharType="separate"/>
      </w:r>
      <w:r w:rsidR="00072525" w:rsidRPr="00072525">
        <w:rPr>
          <w:rStyle w:val="Hyperlink"/>
          <w:b/>
          <w:sz w:val="32"/>
          <w:szCs w:val="32"/>
        </w:rPr>
        <w:t>www.afi.wur.nl</w:t>
      </w:r>
      <w:r>
        <w:rPr>
          <w:rStyle w:val="Hyperlink"/>
          <w:b/>
          <w:sz w:val="32"/>
          <w:szCs w:val="32"/>
        </w:rPr>
        <w:fldChar w:fldCharType="end"/>
      </w:r>
    </w:p>
    <w:p w14:paraId="6B1C57C9" w14:textId="77777777" w:rsidR="00191AAE" w:rsidRPr="009F06AD" w:rsidRDefault="008748F3">
      <w:pPr>
        <w:rPr>
          <w:b/>
          <w:sz w:val="20"/>
          <w:szCs w:val="20"/>
        </w:rPr>
      </w:pPr>
      <w:r>
        <w:rPr>
          <w:b/>
          <w:sz w:val="20"/>
          <w:szCs w:val="20"/>
        </w:rPr>
        <w:t>THESIS</w:t>
      </w:r>
    </w:p>
    <w:tbl>
      <w:tblPr>
        <w:tblStyle w:val="TableGrid"/>
        <w:tblpPr w:leftFromText="180" w:rightFromText="180" w:vertAnchor="page" w:horzAnchor="margin" w:tblpY="2071"/>
        <w:tblW w:w="0" w:type="auto"/>
        <w:tblLook w:val="04A0" w:firstRow="1" w:lastRow="0" w:firstColumn="1" w:lastColumn="0" w:noHBand="0" w:noVBand="1"/>
      </w:tblPr>
      <w:tblGrid>
        <w:gridCol w:w="2235"/>
        <w:gridCol w:w="7007"/>
      </w:tblGrid>
      <w:tr w:rsidR="002C7E0A" w14:paraId="6B1C57CC" w14:textId="77777777" w:rsidTr="002C7E0A">
        <w:tc>
          <w:tcPr>
            <w:tcW w:w="2235" w:type="dxa"/>
          </w:tcPr>
          <w:p w14:paraId="6B1C57CA" w14:textId="77777777" w:rsidR="002C7E0A" w:rsidRPr="002306DE" w:rsidRDefault="002C7E0A" w:rsidP="002C7E0A">
            <w:pPr>
              <w:rPr>
                <w:b/>
              </w:rPr>
            </w:pPr>
            <w:r w:rsidRPr="002306DE">
              <w:rPr>
                <w:b/>
              </w:rPr>
              <w:t>TITLE</w:t>
            </w:r>
          </w:p>
        </w:tc>
        <w:tc>
          <w:tcPr>
            <w:tcW w:w="7007" w:type="dxa"/>
          </w:tcPr>
          <w:p w14:paraId="6B1C57CB" w14:textId="0F6AB2D9" w:rsidR="002C7E0A" w:rsidRPr="00B50DA4" w:rsidRDefault="00B50DA4" w:rsidP="002C7E0A">
            <w:pPr>
              <w:rPr>
                <w:szCs w:val="17"/>
              </w:rPr>
            </w:pPr>
            <w:r w:rsidRPr="00B50DA4">
              <w:rPr>
                <w:szCs w:val="17"/>
              </w:rPr>
              <w:t>Dynamics of Fish Aggregation Device (FADs) Utilization on Tuna Fisheries</w:t>
            </w:r>
          </w:p>
        </w:tc>
      </w:tr>
      <w:tr w:rsidR="00213435" w14:paraId="6B1C57CF" w14:textId="77777777" w:rsidTr="002C7E0A">
        <w:tc>
          <w:tcPr>
            <w:tcW w:w="2235" w:type="dxa"/>
          </w:tcPr>
          <w:p w14:paraId="6B1C57CD" w14:textId="77777777" w:rsidR="00213435" w:rsidRDefault="00213435" w:rsidP="002C7E0A">
            <w:r>
              <w:t>RESEARCH QUESTION</w:t>
            </w:r>
          </w:p>
        </w:tc>
        <w:tc>
          <w:tcPr>
            <w:tcW w:w="7007" w:type="dxa"/>
          </w:tcPr>
          <w:p w14:paraId="6B1C57CE" w14:textId="64CF9CAA" w:rsidR="00213435" w:rsidRPr="00B50DA4" w:rsidRDefault="00B50DA4" w:rsidP="002C7E0A">
            <w:pPr>
              <w:rPr>
                <w:szCs w:val="17"/>
              </w:rPr>
            </w:pPr>
            <w:r w:rsidRPr="00B50DA4">
              <w:rPr>
                <w:szCs w:val="17"/>
              </w:rPr>
              <w:t>What is the dynamics utilization of FADs on tuna fisheries?</w:t>
            </w:r>
          </w:p>
        </w:tc>
      </w:tr>
      <w:tr w:rsidR="002C7E0A" w:rsidRPr="00B50DA4" w14:paraId="6B1C57D2" w14:textId="77777777" w:rsidTr="002C7E0A">
        <w:tc>
          <w:tcPr>
            <w:tcW w:w="2235" w:type="dxa"/>
          </w:tcPr>
          <w:p w14:paraId="6B1C57D0" w14:textId="77777777" w:rsidR="002C7E0A" w:rsidRDefault="002C7E0A" w:rsidP="002C7E0A">
            <w:r>
              <w:t>SUPERVISOR</w:t>
            </w:r>
          </w:p>
        </w:tc>
        <w:tc>
          <w:tcPr>
            <w:tcW w:w="7007" w:type="dxa"/>
          </w:tcPr>
          <w:p w14:paraId="6B1C57D1" w14:textId="08C8D06B" w:rsidR="002C7E0A" w:rsidRPr="00B50DA4" w:rsidRDefault="00B50DA4" w:rsidP="002C7E0A">
            <w:pPr>
              <w:rPr>
                <w:szCs w:val="17"/>
                <w:lang w:val="nl-NL"/>
              </w:rPr>
            </w:pPr>
            <w:proofErr w:type="spellStart"/>
            <w:r w:rsidRPr="00B50DA4">
              <w:rPr>
                <w:szCs w:val="17"/>
                <w:lang w:val="nl-NL"/>
              </w:rPr>
              <w:t>Assoc</w:t>
            </w:r>
            <w:proofErr w:type="spellEnd"/>
            <w:r w:rsidRPr="00B50DA4">
              <w:rPr>
                <w:szCs w:val="17"/>
                <w:lang w:val="nl-NL"/>
              </w:rPr>
              <w:t>. Prof. Ir. P.A.M. van Zwieten</w:t>
            </w:r>
          </w:p>
        </w:tc>
      </w:tr>
      <w:tr w:rsidR="002C7E0A" w14:paraId="6B1C57D5" w14:textId="77777777" w:rsidTr="002C7E0A">
        <w:tc>
          <w:tcPr>
            <w:tcW w:w="2235" w:type="dxa"/>
          </w:tcPr>
          <w:p w14:paraId="6B1C57D3" w14:textId="77777777" w:rsidR="002C7E0A" w:rsidRDefault="002C7E0A" w:rsidP="002C7E0A">
            <w:r>
              <w:t>LOCATION</w:t>
            </w:r>
          </w:p>
        </w:tc>
        <w:tc>
          <w:tcPr>
            <w:tcW w:w="7007" w:type="dxa"/>
          </w:tcPr>
          <w:p w14:paraId="6B1C57D4" w14:textId="2619A902" w:rsidR="002C7E0A" w:rsidRPr="00B50DA4" w:rsidRDefault="00B50DA4" w:rsidP="002C7E0A">
            <w:pPr>
              <w:rPr>
                <w:szCs w:val="17"/>
              </w:rPr>
            </w:pPr>
            <w:proofErr w:type="spellStart"/>
            <w:r>
              <w:rPr>
                <w:szCs w:val="17"/>
              </w:rPr>
              <w:t>Bitung</w:t>
            </w:r>
            <w:proofErr w:type="spellEnd"/>
            <w:r>
              <w:rPr>
                <w:szCs w:val="17"/>
              </w:rPr>
              <w:t>-North Sulawesi, Indonesia (Southeast Asia)</w:t>
            </w:r>
          </w:p>
        </w:tc>
      </w:tr>
      <w:tr w:rsidR="002C7E0A" w14:paraId="6B1C57D8" w14:textId="77777777" w:rsidTr="002C7E0A">
        <w:tc>
          <w:tcPr>
            <w:tcW w:w="2235" w:type="dxa"/>
          </w:tcPr>
          <w:p w14:paraId="6B1C57D6" w14:textId="77777777" w:rsidR="002C7E0A" w:rsidRDefault="002C7E0A" w:rsidP="002C7E0A">
            <w:r>
              <w:t>PERIOD</w:t>
            </w:r>
          </w:p>
        </w:tc>
        <w:tc>
          <w:tcPr>
            <w:tcW w:w="7007" w:type="dxa"/>
          </w:tcPr>
          <w:p w14:paraId="6B1C57D7" w14:textId="05FB28A9" w:rsidR="002C7E0A" w:rsidRPr="00B50DA4" w:rsidRDefault="00B50DA4" w:rsidP="002C7E0A">
            <w:pPr>
              <w:rPr>
                <w:szCs w:val="17"/>
              </w:rPr>
            </w:pPr>
            <w:r>
              <w:rPr>
                <w:szCs w:val="17"/>
              </w:rPr>
              <w:t>September 2013-September 2015</w:t>
            </w:r>
          </w:p>
        </w:tc>
      </w:tr>
      <w:tr w:rsidR="002306DE" w14:paraId="6B1C57DA" w14:textId="77777777" w:rsidTr="00414BE8">
        <w:tc>
          <w:tcPr>
            <w:tcW w:w="9242" w:type="dxa"/>
            <w:gridSpan w:val="2"/>
          </w:tcPr>
          <w:p w14:paraId="6B1C57D9" w14:textId="77777777" w:rsidR="002306DE" w:rsidRPr="00CA7B08" w:rsidRDefault="002306DE" w:rsidP="002306DE">
            <w:pPr>
              <w:rPr>
                <w:sz w:val="20"/>
                <w:szCs w:val="20"/>
              </w:rPr>
            </w:pPr>
            <w:r w:rsidRPr="002306DE">
              <w:rPr>
                <w:color w:val="0070C0"/>
                <w:u w:val="single"/>
              </w:rPr>
              <w:t>LINK FOR MORE INFORMATION</w:t>
            </w:r>
            <w:r>
              <w:t xml:space="preserve">  </w:t>
            </w:r>
            <w:r w:rsidRPr="001F11CA">
              <w:rPr>
                <w:color w:val="0070C0"/>
                <w:sz w:val="20"/>
                <w:szCs w:val="20"/>
              </w:rPr>
              <w:t xml:space="preserve">LINK IS MADE BY AFI SECRETARIAT! </w:t>
            </w:r>
          </w:p>
        </w:tc>
      </w:tr>
    </w:tbl>
    <w:p w14:paraId="6B1C57DB" w14:textId="77777777" w:rsidR="002C7E0A" w:rsidRDefault="002C7E0A">
      <w:pPr>
        <w:rPr>
          <w:b/>
          <w:sz w:val="20"/>
          <w:szCs w:val="20"/>
        </w:rPr>
      </w:pPr>
    </w:p>
    <w:p w14:paraId="6B1C57DC" w14:textId="77777777" w:rsidR="00F05273" w:rsidRPr="009F06AD" w:rsidRDefault="00F05273">
      <w:pPr>
        <w:rPr>
          <w:b/>
          <w:sz w:val="20"/>
          <w:szCs w:val="20"/>
        </w:rPr>
      </w:pPr>
      <w:r w:rsidRPr="009F06AD">
        <w:rPr>
          <w:b/>
          <w:sz w:val="20"/>
          <w:szCs w:val="20"/>
        </w:rPr>
        <w:t>MORE INFORMATION</w:t>
      </w:r>
      <w:r w:rsidR="008E50B6">
        <w:rPr>
          <w:b/>
          <w:sz w:val="20"/>
          <w:szCs w:val="20"/>
        </w:rPr>
        <w:t xml:space="preserve"> (if available)</w:t>
      </w:r>
    </w:p>
    <w:tbl>
      <w:tblPr>
        <w:tblStyle w:val="TableGrid"/>
        <w:tblW w:w="0" w:type="auto"/>
        <w:tblLook w:val="04A0" w:firstRow="1" w:lastRow="0" w:firstColumn="1" w:lastColumn="0" w:noHBand="0" w:noVBand="1"/>
      </w:tblPr>
      <w:tblGrid>
        <w:gridCol w:w="9242"/>
      </w:tblGrid>
      <w:tr w:rsidR="00F05273" w:rsidRPr="00F05273" w14:paraId="6B1C57DE" w14:textId="77777777" w:rsidTr="00F05273">
        <w:tc>
          <w:tcPr>
            <w:tcW w:w="9242" w:type="dxa"/>
          </w:tcPr>
          <w:p w14:paraId="6B1C57DD" w14:textId="77777777" w:rsidR="00F05273" w:rsidRPr="00F05273" w:rsidRDefault="002306DE" w:rsidP="00F05273">
            <w:pPr>
              <w:rPr>
                <w:sz w:val="20"/>
                <w:szCs w:val="20"/>
              </w:rPr>
            </w:pPr>
            <w:r>
              <w:rPr>
                <w:sz w:val="20"/>
                <w:szCs w:val="20"/>
              </w:rPr>
              <w:t>SHORT DESCRIPTION</w:t>
            </w:r>
          </w:p>
        </w:tc>
      </w:tr>
      <w:tr w:rsidR="00F05273" w:rsidRPr="00F05273" w14:paraId="6B1C57E7" w14:textId="77777777" w:rsidTr="00F05273">
        <w:tc>
          <w:tcPr>
            <w:tcW w:w="9242" w:type="dxa"/>
          </w:tcPr>
          <w:p w14:paraId="6B1C57E6" w14:textId="4CD7B544" w:rsidR="00F05273" w:rsidRPr="00F05273" w:rsidRDefault="00931753" w:rsidP="00B50DA4">
            <w:pPr>
              <w:rPr>
                <w:sz w:val="20"/>
                <w:szCs w:val="20"/>
              </w:rPr>
            </w:pPr>
            <w:r w:rsidRPr="00931753">
              <w:rPr>
                <w:sz w:val="20"/>
                <w:szCs w:val="20"/>
              </w:rPr>
              <w:t>Fish aggregation devices (FADs) have been used by tuna fishers in Indonesian waters since the 1980s. FADs increase the efficiency of fishing activities and may lead to an increase in fishing pressure on tuna stocks and the pelagic ecosystem. The high demand on the international markets is an incentive for an increase in fishing pressure and may lead to an excessive use of FADs. This research aims to study the dynamics of FADs utilization by fishers and tuna as a basis for sustainable management of tuna. This study will describe the fishery system of tuna fishing such as the classification of FADs, the actual density of FADs and the total number fishers making use of them in an area, where these information are essential to evaluate the uncertainty of the status and characteristic as well as total fishing effort of this fishery. In order to maximize the long term catch rate, fishers go to the certain network of FADs by implementing their tactics to make the best scenario on exploiting FADs. Their knowledge of fishing patterns and practices around FADs are important factors in dealing with the catch variability. To install and place FADs in certain locations, fishers have to decide their strategies for a long-term effort allocation that may be directed more by operational constraints than by their knowledge of tuna behaviour. The information of fish behaviour around FADs is necessary to understand the role of FADs regarding the resources by (</w:t>
            </w:r>
            <w:proofErr w:type="spellStart"/>
            <w:r w:rsidRPr="00931753">
              <w:rPr>
                <w:sz w:val="20"/>
                <w:szCs w:val="20"/>
              </w:rPr>
              <w:t>i</w:t>
            </w:r>
            <w:proofErr w:type="spellEnd"/>
            <w:r w:rsidRPr="00931753">
              <w:rPr>
                <w:sz w:val="20"/>
                <w:szCs w:val="20"/>
              </w:rPr>
              <w:t>) analysing the movement dynamics of tuna in and out of the eastern Indonesia and (ii) determining factors of the rate of tuna biomass build up around a FAD. Information of species composition and the catch amount from the fishers will be used to ascertain the fish biomass and fishing consequences toward biodiversity around FADs. All information of the research findings can be used to support the basis of sustainable management of tuna.</w:t>
            </w:r>
          </w:p>
        </w:tc>
      </w:tr>
    </w:tbl>
    <w:p w14:paraId="6B1C57E8" w14:textId="77777777" w:rsidR="00F05273" w:rsidRPr="009F06AD" w:rsidRDefault="00F05273" w:rsidP="00F05273">
      <w:pPr>
        <w:rPr>
          <w:sz w:val="8"/>
          <w:szCs w:val="8"/>
        </w:rPr>
      </w:pPr>
    </w:p>
    <w:tbl>
      <w:tblPr>
        <w:tblStyle w:val="TableGrid"/>
        <w:tblW w:w="0" w:type="auto"/>
        <w:tblLook w:val="04A0" w:firstRow="1" w:lastRow="0" w:firstColumn="1" w:lastColumn="0" w:noHBand="0" w:noVBand="1"/>
      </w:tblPr>
      <w:tblGrid>
        <w:gridCol w:w="9242"/>
      </w:tblGrid>
      <w:tr w:rsidR="00F05273" w:rsidRPr="00F05273" w14:paraId="6B1C57EA" w14:textId="77777777" w:rsidTr="00F05273">
        <w:tc>
          <w:tcPr>
            <w:tcW w:w="9242" w:type="dxa"/>
          </w:tcPr>
          <w:p w14:paraId="6B1C57E9" w14:textId="77777777" w:rsidR="00F05273" w:rsidRPr="00F05273" w:rsidRDefault="009044E2" w:rsidP="00F05273">
            <w:pPr>
              <w:rPr>
                <w:sz w:val="20"/>
                <w:szCs w:val="20"/>
              </w:rPr>
            </w:pPr>
            <w:r>
              <w:rPr>
                <w:sz w:val="20"/>
                <w:szCs w:val="20"/>
              </w:rPr>
              <w:t>RESEARCH AIM/ SCOPE</w:t>
            </w:r>
          </w:p>
        </w:tc>
      </w:tr>
      <w:tr w:rsidR="00F05273" w:rsidRPr="00F05273" w14:paraId="6B1C57F3" w14:textId="77777777" w:rsidTr="00F05273">
        <w:tc>
          <w:tcPr>
            <w:tcW w:w="9242" w:type="dxa"/>
          </w:tcPr>
          <w:p w14:paraId="4731BD79" w14:textId="77777777" w:rsidR="00B50DA4" w:rsidRPr="00B50DA4" w:rsidRDefault="00B50DA4" w:rsidP="00B50DA4">
            <w:pPr>
              <w:rPr>
                <w:sz w:val="20"/>
                <w:szCs w:val="20"/>
              </w:rPr>
            </w:pPr>
            <w:r w:rsidRPr="00B50DA4">
              <w:rPr>
                <w:sz w:val="20"/>
                <w:szCs w:val="20"/>
              </w:rPr>
              <w:t xml:space="preserve">The main objective of the research is to generate and evaluate the utilization of FADs by tuna fishers including fishing mechanisms (practices) and tuna behaviour around FADs. Specifically, the research aims to achieve the following four sub-objectives: </w:t>
            </w:r>
          </w:p>
          <w:p w14:paraId="18802E7D" w14:textId="1C3EEB8F" w:rsidR="00B50DA4" w:rsidRDefault="00B50DA4" w:rsidP="00B50DA4">
            <w:pPr>
              <w:pStyle w:val="ListParagraph"/>
              <w:numPr>
                <w:ilvl w:val="0"/>
                <w:numId w:val="1"/>
              </w:numPr>
              <w:tabs>
                <w:tab w:val="left" w:pos="284"/>
              </w:tabs>
              <w:ind w:left="284" w:hanging="284"/>
              <w:rPr>
                <w:sz w:val="20"/>
                <w:szCs w:val="20"/>
              </w:rPr>
            </w:pPr>
            <w:r w:rsidRPr="00B50DA4">
              <w:rPr>
                <w:sz w:val="20"/>
                <w:szCs w:val="20"/>
              </w:rPr>
              <w:t>Classify the FADs and analyse the actual density of each type FAD in relation to the  total number of fishers making use of them in an area.</w:t>
            </w:r>
          </w:p>
          <w:p w14:paraId="56E80A32" w14:textId="77777777" w:rsidR="00B50DA4" w:rsidRDefault="00B50DA4" w:rsidP="00B50DA4">
            <w:pPr>
              <w:pStyle w:val="ListParagraph"/>
              <w:numPr>
                <w:ilvl w:val="0"/>
                <w:numId w:val="1"/>
              </w:numPr>
              <w:tabs>
                <w:tab w:val="left" w:pos="284"/>
              </w:tabs>
              <w:ind w:left="284" w:hanging="284"/>
              <w:rPr>
                <w:sz w:val="20"/>
                <w:szCs w:val="20"/>
              </w:rPr>
            </w:pPr>
            <w:r w:rsidRPr="00B50DA4">
              <w:rPr>
                <w:sz w:val="20"/>
                <w:szCs w:val="20"/>
              </w:rPr>
              <w:t xml:space="preserve">Investigate the fishing tactics based on the fishing patterns-practices and catch amount of tuna purse seiners around FADs, and their strategies based on decision and location choice of deploying FADs. </w:t>
            </w:r>
          </w:p>
          <w:p w14:paraId="11299E0F" w14:textId="77777777" w:rsidR="00B50DA4" w:rsidRDefault="00B50DA4" w:rsidP="00B50DA4">
            <w:pPr>
              <w:pStyle w:val="ListParagraph"/>
              <w:numPr>
                <w:ilvl w:val="0"/>
                <w:numId w:val="1"/>
              </w:numPr>
              <w:tabs>
                <w:tab w:val="left" w:pos="284"/>
              </w:tabs>
              <w:ind w:left="284" w:hanging="284"/>
              <w:rPr>
                <w:sz w:val="20"/>
                <w:szCs w:val="20"/>
              </w:rPr>
            </w:pPr>
            <w:r w:rsidRPr="00B50DA4">
              <w:rPr>
                <w:sz w:val="20"/>
                <w:szCs w:val="20"/>
              </w:rPr>
              <w:t>Analyse the movement dynamics of tuna in and out of the eastern Indonesia based on tagging data.</w:t>
            </w:r>
          </w:p>
          <w:p w14:paraId="76E0C05D" w14:textId="77777777" w:rsidR="00B50DA4" w:rsidRDefault="00B50DA4" w:rsidP="00B50DA4">
            <w:pPr>
              <w:pStyle w:val="ListParagraph"/>
              <w:numPr>
                <w:ilvl w:val="0"/>
                <w:numId w:val="1"/>
              </w:numPr>
              <w:tabs>
                <w:tab w:val="left" w:pos="284"/>
              </w:tabs>
              <w:ind w:left="284" w:hanging="284"/>
              <w:rPr>
                <w:sz w:val="20"/>
                <w:szCs w:val="20"/>
              </w:rPr>
            </w:pPr>
            <w:r w:rsidRPr="00B50DA4">
              <w:rPr>
                <w:sz w:val="20"/>
                <w:szCs w:val="20"/>
              </w:rPr>
              <w:t>Study the factors that determine the rate of tuna biomass build up around a FAD after fishing event.</w:t>
            </w:r>
          </w:p>
          <w:p w14:paraId="6B1C57F2" w14:textId="6F4F868B" w:rsidR="00F05273" w:rsidRPr="00F05273" w:rsidRDefault="00B50DA4" w:rsidP="00B50DA4">
            <w:pPr>
              <w:pStyle w:val="ListParagraph"/>
              <w:numPr>
                <w:ilvl w:val="0"/>
                <w:numId w:val="1"/>
              </w:numPr>
              <w:tabs>
                <w:tab w:val="left" w:pos="284"/>
              </w:tabs>
              <w:ind w:left="284" w:hanging="284"/>
              <w:rPr>
                <w:sz w:val="20"/>
                <w:szCs w:val="20"/>
              </w:rPr>
            </w:pPr>
            <w:r w:rsidRPr="00B50DA4">
              <w:rPr>
                <w:sz w:val="20"/>
                <w:szCs w:val="20"/>
              </w:rPr>
              <w:t>Observe the fishing effect on ecosystem based on the catch composition of non-target fish and its biomass from purse seiners around FADs.</w:t>
            </w:r>
          </w:p>
        </w:tc>
      </w:tr>
    </w:tbl>
    <w:p w14:paraId="6B1C57F4" w14:textId="77777777" w:rsidR="00F05273" w:rsidRDefault="00F05273" w:rsidP="00F05273">
      <w:pPr>
        <w:rPr>
          <w:sz w:val="8"/>
          <w:szCs w:val="8"/>
        </w:rPr>
      </w:pPr>
    </w:p>
    <w:p w14:paraId="0A51C70D" w14:textId="77777777" w:rsidR="00931753" w:rsidRDefault="00931753" w:rsidP="00F05273">
      <w:pPr>
        <w:rPr>
          <w:sz w:val="8"/>
          <w:szCs w:val="8"/>
        </w:rPr>
      </w:pPr>
    </w:p>
    <w:p w14:paraId="7E4DECED" w14:textId="77777777" w:rsidR="00931753" w:rsidRPr="009F06AD" w:rsidRDefault="00931753" w:rsidP="00F05273">
      <w:pPr>
        <w:rPr>
          <w:sz w:val="8"/>
          <w:szCs w:val="8"/>
        </w:rPr>
      </w:pPr>
    </w:p>
    <w:tbl>
      <w:tblPr>
        <w:tblStyle w:val="TableGrid"/>
        <w:tblW w:w="0" w:type="auto"/>
        <w:tblLook w:val="04A0" w:firstRow="1" w:lastRow="0" w:firstColumn="1" w:lastColumn="0" w:noHBand="0" w:noVBand="1"/>
      </w:tblPr>
      <w:tblGrid>
        <w:gridCol w:w="9242"/>
      </w:tblGrid>
      <w:tr w:rsidR="009F06AD" w:rsidRPr="00F05273" w14:paraId="6B1C57F6" w14:textId="77777777" w:rsidTr="009F06AD">
        <w:tc>
          <w:tcPr>
            <w:tcW w:w="9242" w:type="dxa"/>
          </w:tcPr>
          <w:p w14:paraId="6B1C57F5" w14:textId="77777777" w:rsidR="009F06AD" w:rsidRPr="00F05273" w:rsidRDefault="009F06AD" w:rsidP="009F06AD">
            <w:pPr>
              <w:rPr>
                <w:sz w:val="20"/>
                <w:szCs w:val="20"/>
              </w:rPr>
            </w:pPr>
            <w:r>
              <w:rPr>
                <w:sz w:val="20"/>
                <w:szCs w:val="20"/>
              </w:rPr>
              <w:lastRenderedPageBreak/>
              <w:t>REQUIREMENTS</w:t>
            </w:r>
          </w:p>
        </w:tc>
      </w:tr>
      <w:tr w:rsidR="009F06AD" w:rsidRPr="00F05273" w14:paraId="6B1C57FB" w14:textId="77777777" w:rsidTr="009F06AD">
        <w:tc>
          <w:tcPr>
            <w:tcW w:w="9242" w:type="dxa"/>
          </w:tcPr>
          <w:p w14:paraId="62ED213B" w14:textId="6EDCF75B" w:rsidR="00931753" w:rsidRDefault="00931753" w:rsidP="00931753">
            <w:pPr>
              <w:pStyle w:val="ListParagraph"/>
              <w:numPr>
                <w:ilvl w:val="0"/>
                <w:numId w:val="2"/>
              </w:numPr>
              <w:tabs>
                <w:tab w:val="left" w:pos="270"/>
              </w:tabs>
              <w:ind w:left="284" w:hanging="284"/>
              <w:rPr>
                <w:sz w:val="20"/>
                <w:szCs w:val="20"/>
              </w:rPr>
            </w:pPr>
            <w:r w:rsidRPr="00931753">
              <w:rPr>
                <w:sz w:val="20"/>
                <w:szCs w:val="20"/>
              </w:rPr>
              <w:t>Students who are able to work under the hot scorching sun, preferably have experience</w:t>
            </w:r>
            <w:r>
              <w:rPr>
                <w:sz w:val="20"/>
                <w:szCs w:val="20"/>
              </w:rPr>
              <w:t>(s)</w:t>
            </w:r>
            <w:r w:rsidRPr="00931753">
              <w:rPr>
                <w:sz w:val="20"/>
                <w:szCs w:val="20"/>
              </w:rPr>
              <w:t xml:space="preserve"> on </w:t>
            </w:r>
            <w:r>
              <w:rPr>
                <w:sz w:val="20"/>
                <w:szCs w:val="20"/>
              </w:rPr>
              <w:t xml:space="preserve">marine </w:t>
            </w:r>
            <w:r w:rsidRPr="00931753">
              <w:rPr>
                <w:sz w:val="20"/>
                <w:szCs w:val="20"/>
              </w:rPr>
              <w:t xml:space="preserve">cruise or join trip with fishermen. </w:t>
            </w:r>
          </w:p>
          <w:p w14:paraId="49313FFB" w14:textId="0AF2EFE2" w:rsidR="00931753" w:rsidRDefault="00931753" w:rsidP="00931753">
            <w:pPr>
              <w:pStyle w:val="ListParagraph"/>
              <w:numPr>
                <w:ilvl w:val="0"/>
                <w:numId w:val="2"/>
              </w:numPr>
              <w:tabs>
                <w:tab w:val="left" w:pos="270"/>
              </w:tabs>
              <w:ind w:left="284" w:hanging="284"/>
              <w:rPr>
                <w:sz w:val="20"/>
                <w:szCs w:val="20"/>
              </w:rPr>
            </w:pPr>
            <w:r w:rsidRPr="00931753">
              <w:rPr>
                <w:sz w:val="20"/>
                <w:szCs w:val="20"/>
              </w:rPr>
              <w:t>Student should preferably can swim, dive, count and measure fish</w:t>
            </w:r>
            <w:r>
              <w:rPr>
                <w:sz w:val="20"/>
                <w:szCs w:val="20"/>
              </w:rPr>
              <w:t>.</w:t>
            </w:r>
          </w:p>
          <w:p w14:paraId="4E9B0890" w14:textId="77777777" w:rsidR="00931753" w:rsidRPr="00931753" w:rsidRDefault="00931753" w:rsidP="00931753">
            <w:pPr>
              <w:pStyle w:val="ListParagraph"/>
              <w:numPr>
                <w:ilvl w:val="0"/>
                <w:numId w:val="2"/>
              </w:numPr>
              <w:tabs>
                <w:tab w:val="left" w:pos="270"/>
              </w:tabs>
              <w:ind w:left="284" w:hanging="284"/>
              <w:rPr>
                <w:sz w:val="20"/>
                <w:szCs w:val="20"/>
              </w:rPr>
            </w:pPr>
            <w:r w:rsidRPr="00931753">
              <w:rPr>
                <w:sz w:val="20"/>
                <w:szCs w:val="20"/>
              </w:rPr>
              <w:t>Students who are curious to know about the decision making of fishers, who have knowledge of participant observations and participatory techniques</w:t>
            </w:r>
            <w:r>
              <w:rPr>
                <w:sz w:val="20"/>
                <w:szCs w:val="20"/>
              </w:rPr>
              <w:t>.</w:t>
            </w:r>
          </w:p>
          <w:p w14:paraId="6B1C57FA" w14:textId="665B83B1" w:rsidR="009F06AD" w:rsidRPr="00F05273" w:rsidRDefault="00931753" w:rsidP="00931753">
            <w:pPr>
              <w:pStyle w:val="ListParagraph"/>
              <w:numPr>
                <w:ilvl w:val="0"/>
                <w:numId w:val="2"/>
              </w:numPr>
              <w:tabs>
                <w:tab w:val="left" w:pos="270"/>
              </w:tabs>
              <w:ind w:left="284" w:hanging="284"/>
              <w:rPr>
                <w:sz w:val="20"/>
                <w:szCs w:val="20"/>
              </w:rPr>
            </w:pPr>
            <w:r w:rsidRPr="00931753">
              <w:rPr>
                <w:sz w:val="20"/>
                <w:szCs w:val="20"/>
              </w:rPr>
              <w:t xml:space="preserve">Students who are culturally sensitive, interested in talking to fishers without becoming </w:t>
            </w:r>
            <w:proofErr w:type="spellStart"/>
            <w:r w:rsidRPr="00931753">
              <w:rPr>
                <w:sz w:val="20"/>
                <w:szCs w:val="20"/>
              </w:rPr>
              <w:t>obstrusive</w:t>
            </w:r>
            <w:proofErr w:type="spellEnd"/>
            <w:r>
              <w:rPr>
                <w:sz w:val="20"/>
                <w:szCs w:val="20"/>
              </w:rPr>
              <w:t xml:space="preserve">, preferably can (learn) speaking </w:t>
            </w:r>
            <w:proofErr w:type="spellStart"/>
            <w:r>
              <w:rPr>
                <w:sz w:val="20"/>
                <w:szCs w:val="20"/>
              </w:rPr>
              <w:t>Bahasa</w:t>
            </w:r>
            <w:proofErr w:type="spellEnd"/>
            <w:r w:rsidRPr="00931753">
              <w:rPr>
                <w:sz w:val="20"/>
                <w:szCs w:val="20"/>
              </w:rPr>
              <w:t>.</w:t>
            </w:r>
          </w:p>
        </w:tc>
      </w:tr>
    </w:tbl>
    <w:p w14:paraId="6B1C57FC" w14:textId="77777777" w:rsidR="009F06AD" w:rsidRPr="009F06AD" w:rsidRDefault="009F06AD" w:rsidP="00F05273">
      <w:pPr>
        <w:rPr>
          <w:sz w:val="8"/>
          <w:szCs w:val="8"/>
        </w:rPr>
      </w:pPr>
    </w:p>
    <w:tbl>
      <w:tblPr>
        <w:tblStyle w:val="TableGrid"/>
        <w:tblW w:w="0" w:type="auto"/>
        <w:tblLook w:val="04A0" w:firstRow="1" w:lastRow="0" w:firstColumn="1" w:lastColumn="0" w:noHBand="0" w:noVBand="1"/>
      </w:tblPr>
      <w:tblGrid>
        <w:gridCol w:w="9242"/>
      </w:tblGrid>
      <w:tr w:rsidR="009F06AD" w:rsidRPr="00F05273" w14:paraId="6B1C57FE" w14:textId="77777777" w:rsidTr="009F06AD">
        <w:tc>
          <w:tcPr>
            <w:tcW w:w="9242" w:type="dxa"/>
          </w:tcPr>
          <w:p w14:paraId="6B1C57FD" w14:textId="77777777" w:rsidR="009F06AD" w:rsidRPr="00F05273" w:rsidRDefault="009F06AD" w:rsidP="009F06AD">
            <w:pPr>
              <w:rPr>
                <w:sz w:val="20"/>
                <w:szCs w:val="20"/>
              </w:rPr>
            </w:pPr>
            <w:r>
              <w:rPr>
                <w:sz w:val="20"/>
                <w:szCs w:val="20"/>
              </w:rPr>
              <w:t>OTHER INFORMATION</w:t>
            </w:r>
          </w:p>
        </w:tc>
      </w:tr>
      <w:tr w:rsidR="009F06AD" w:rsidRPr="00F05273" w14:paraId="6B1C5803" w14:textId="77777777" w:rsidTr="009F06AD">
        <w:tc>
          <w:tcPr>
            <w:tcW w:w="9242" w:type="dxa"/>
          </w:tcPr>
          <w:p w14:paraId="77EFCFE6" w14:textId="2C13712D" w:rsidR="00931753" w:rsidRDefault="00931753" w:rsidP="00931753">
            <w:pPr>
              <w:pStyle w:val="ListParagraph"/>
              <w:numPr>
                <w:ilvl w:val="0"/>
                <w:numId w:val="3"/>
              </w:numPr>
              <w:tabs>
                <w:tab w:val="left" w:pos="284"/>
              </w:tabs>
              <w:ind w:hanging="1080"/>
              <w:rPr>
                <w:sz w:val="20"/>
                <w:szCs w:val="20"/>
              </w:rPr>
            </w:pPr>
            <w:r w:rsidRPr="00931753">
              <w:rPr>
                <w:sz w:val="20"/>
                <w:szCs w:val="20"/>
              </w:rPr>
              <w:t xml:space="preserve">Student should find funding for himself throughout his stay in </w:t>
            </w:r>
            <w:r>
              <w:rPr>
                <w:sz w:val="20"/>
                <w:szCs w:val="20"/>
              </w:rPr>
              <w:t>Indonesia.</w:t>
            </w:r>
          </w:p>
          <w:p w14:paraId="6B1C5802" w14:textId="4FED2331" w:rsidR="009F06AD" w:rsidRPr="00F05273" w:rsidRDefault="00931753" w:rsidP="00931753">
            <w:pPr>
              <w:pStyle w:val="ListParagraph"/>
              <w:numPr>
                <w:ilvl w:val="0"/>
                <w:numId w:val="3"/>
              </w:numPr>
              <w:tabs>
                <w:tab w:val="left" w:pos="284"/>
              </w:tabs>
              <w:ind w:hanging="1080"/>
              <w:rPr>
                <w:sz w:val="20"/>
                <w:szCs w:val="20"/>
              </w:rPr>
            </w:pPr>
            <w:r w:rsidRPr="00931753">
              <w:rPr>
                <w:sz w:val="20"/>
                <w:szCs w:val="20"/>
              </w:rPr>
              <w:t>Student should take malaria and or anti-dengue vaccine.</w:t>
            </w:r>
          </w:p>
        </w:tc>
      </w:tr>
    </w:tbl>
    <w:p w14:paraId="6B1C5804" w14:textId="77777777" w:rsidR="009F06AD" w:rsidRDefault="009F06AD" w:rsidP="002C7E0A">
      <w:pPr>
        <w:rPr>
          <w:sz w:val="20"/>
          <w:szCs w:val="20"/>
        </w:rPr>
      </w:pPr>
    </w:p>
    <w:sectPr w:rsidR="009F06AD" w:rsidSect="002C7E0A">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5BE"/>
    <w:multiLevelType w:val="hybridMultilevel"/>
    <w:tmpl w:val="F302307A"/>
    <w:lvl w:ilvl="0" w:tplc="217A9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96267A"/>
    <w:multiLevelType w:val="hybridMultilevel"/>
    <w:tmpl w:val="4D08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984BC9"/>
    <w:multiLevelType w:val="hybridMultilevel"/>
    <w:tmpl w:val="1324C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6C"/>
    <w:rsid w:val="000256E2"/>
    <w:rsid w:val="00072525"/>
    <w:rsid w:val="00191AAE"/>
    <w:rsid w:val="001F11CA"/>
    <w:rsid w:val="00213435"/>
    <w:rsid w:val="002158A6"/>
    <w:rsid w:val="002306DE"/>
    <w:rsid w:val="002C7E0A"/>
    <w:rsid w:val="00367928"/>
    <w:rsid w:val="00427253"/>
    <w:rsid w:val="0055788F"/>
    <w:rsid w:val="00576BCC"/>
    <w:rsid w:val="00587D2A"/>
    <w:rsid w:val="005A3B94"/>
    <w:rsid w:val="005A7329"/>
    <w:rsid w:val="005B087C"/>
    <w:rsid w:val="005C20C2"/>
    <w:rsid w:val="005C2D6C"/>
    <w:rsid w:val="00611F56"/>
    <w:rsid w:val="007A52DF"/>
    <w:rsid w:val="008748F3"/>
    <w:rsid w:val="008E50B6"/>
    <w:rsid w:val="009044E2"/>
    <w:rsid w:val="00931753"/>
    <w:rsid w:val="009F06AD"/>
    <w:rsid w:val="00B50DA4"/>
    <w:rsid w:val="00CA7B08"/>
    <w:rsid w:val="00E44F68"/>
    <w:rsid w:val="00F0527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7">
    <w:name w:val="content7"/>
    <w:basedOn w:val="DefaultParagraphFont"/>
    <w:rsid w:val="00E44F68"/>
    <w:rPr>
      <w:color w:val="68688B"/>
    </w:rPr>
  </w:style>
  <w:style w:type="character" w:styleId="Strong">
    <w:name w:val="Strong"/>
    <w:basedOn w:val="DefaultParagraphFont"/>
    <w:uiPriority w:val="22"/>
    <w:qFormat/>
    <w:rsid w:val="00E44F68"/>
    <w:rPr>
      <w:b/>
      <w:bCs/>
    </w:rPr>
  </w:style>
  <w:style w:type="character" w:styleId="Hyperlink">
    <w:name w:val="Hyperlink"/>
    <w:basedOn w:val="DefaultParagraphFont"/>
    <w:uiPriority w:val="99"/>
    <w:unhideWhenUsed/>
    <w:rsid w:val="00072525"/>
    <w:rPr>
      <w:color w:val="0000FF" w:themeColor="hyperlink"/>
      <w:u w:val="single"/>
    </w:rPr>
  </w:style>
  <w:style w:type="paragraph" w:styleId="BalloonText">
    <w:name w:val="Balloon Text"/>
    <w:basedOn w:val="Normal"/>
    <w:link w:val="BalloonTextChar"/>
    <w:uiPriority w:val="99"/>
    <w:semiHidden/>
    <w:unhideWhenUsed/>
    <w:rsid w:val="002C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0A"/>
    <w:rPr>
      <w:rFonts w:ascii="Tahoma" w:hAnsi="Tahoma" w:cs="Tahoma"/>
      <w:sz w:val="16"/>
      <w:szCs w:val="16"/>
    </w:rPr>
  </w:style>
  <w:style w:type="paragraph" w:styleId="ListParagraph">
    <w:name w:val="List Paragraph"/>
    <w:basedOn w:val="Normal"/>
    <w:uiPriority w:val="34"/>
    <w:qFormat/>
    <w:rsid w:val="00B50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7">
    <w:name w:val="content7"/>
    <w:basedOn w:val="DefaultParagraphFont"/>
    <w:rsid w:val="00E44F68"/>
    <w:rPr>
      <w:color w:val="68688B"/>
    </w:rPr>
  </w:style>
  <w:style w:type="character" w:styleId="Strong">
    <w:name w:val="Strong"/>
    <w:basedOn w:val="DefaultParagraphFont"/>
    <w:uiPriority w:val="22"/>
    <w:qFormat/>
    <w:rsid w:val="00E44F68"/>
    <w:rPr>
      <w:b/>
      <w:bCs/>
    </w:rPr>
  </w:style>
  <w:style w:type="character" w:styleId="Hyperlink">
    <w:name w:val="Hyperlink"/>
    <w:basedOn w:val="DefaultParagraphFont"/>
    <w:uiPriority w:val="99"/>
    <w:unhideWhenUsed/>
    <w:rsid w:val="00072525"/>
    <w:rPr>
      <w:color w:val="0000FF" w:themeColor="hyperlink"/>
      <w:u w:val="single"/>
    </w:rPr>
  </w:style>
  <w:style w:type="paragraph" w:styleId="BalloonText">
    <w:name w:val="Balloon Text"/>
    <w:basedOn w:val="Normal"/>
    <w:link w:val="BalloonTextChar"/>
    <w:uiPriority w:val="99"/>
    <w:semiHidden/>
    <w:unhideWhenUsed/>
    <w:rsid w:val="002C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0A"/>
    <w:rPr>
      <w:rFonts w:ascii="Tahoma" w:hAnsi="Tahoma" w:cs="Tahoma"/>
      <w:sz w:val="16"/>
      <w:szCs w:val="16"/>
    </w:rPr>
  </w:style>
  <w:style w:type="paragraph" w:styleId="ListParagraph">
    <w:name w:val="List Paragraph"/>
    <w:basedOn w:val="Normal"/>
    <w:uiPriority w:val="34"/>
    <w:qFormat/>
    <w:rsid w:val="00B5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9AFC9FB8C8E41B7575339E75F2DF2" ma:contentTypeVersion="0" ma:contentTypeDescription="Create a new document." ma:contentTypeScope="" ma:versionID="6aee569f7aacfc1128c1d700d41633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E148C-6FA7-4FE8-9130-4D487523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429DC4-92B3-4CE3-916C-BC30AD616FA9}">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98F62D1-4D1F-4EDE-A629-9405F7A7B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Schlaman, Geertje</dc:creator>
  <cp:lastModifiedBy>Halman, Eugenia</cp:lastModifiedBy>
  <cp:revision>2</cp:revision>
  <cp:lastPrinted>2011-02-17T13:20:00Z</cp:lastPrinted>
  <dcterms:created xsi:type="dcterms:W3CDTF">2013-09-05T12:15:00Z</dcterms:created>
  <dcterms:modified xsi:type="dcterms:W3CDTF">2013-09-05T12:15:00Z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0x01010019F9AFC9FB8C8E41B7575339E75F2DF2</vt:lpwstr>
  </property>
</Properties>
</file>