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6E68" w14:textId="7392C5F1" w:rsidR="00A06E5E" w:rsidRDefault="00A06E5E" w:rsidP="001661B4">
      <w:pPr>
        <w:spacing w:line="276" w:lineRule="auto"/>
        <w:rPr>
          <w:rFonts w:ascii="Verdana" w:hAnsi="Verdana"/>
          <w:sz w:val="18"/>
          <w:szCs w:val="18"/>
        </w:rPr>
      </w:pPr>
    </w:p>
    <w:p w14:paraId="60C0944D" w14:textId="260EFBC0" w:rsidR="00A06E5E" w:rsidRDefault="00A06E5E">
      <w:pPr>
        <w:rPr>
          <w:rFonts w:ascii="Verdana" w:hAnsi="Verdana"/>
          <w:sz w:val="18"/>
          <w:szCs w:val="18"/>
        </w:rPr>
      </w:pPr>
    </w:p>
    <w:p w14:paraId="27DCA994" w14:textId="5762486A" w:rsidR="00A06E5E" w:rsidRDefault="00A06E5E">
      <w:pPr>
        <w:rPr>
          <w:rFonts w:ascii="Verdana" w:hAnsi="Verdana"/>
          <w:sz w:val="18"/>
          <w:szCs w:val="18"/>
        </w:rPr>
      </w:pPr>
    </w:p>
    <w:p w14:paraId="7080E671" w14:textId="1C157863" w:rsidR="00A06E5E" w:rsidRDefault="00A06E5E">
      <w:pPr>
        <w:rPr>
          <w:rFonts w:ascii="Verdana" w:hAnsi="Verdana"/>
          <w:sz w:val="18"/>
          <w:szCs w:val="18"/>
        </w:rPr>
      </w:pPr>
    </w:p>
    <w:p w14:paraId="7EB820D6" w14:textId="78D0BEC1" w:rsidR="00A06E5E" w:rsidRDefault="00A06E5E">
      <w:pPr>
        <w:rPr>
          <w:rFonts w:ascii="Verdana" w:hAnsi="Verdana"/>
          <w:sz w:val="18"/>
          <w:szCs w:val="18"/>
        </w:rPr>
      </w:pPr>
    </w:p>
    <w:p w14:paraId="7B32EC9E" w14:textId="6BAC6900" w:rsidR="00A06E5E" w:rsidRDefault="00A06E5E">
      <w:pPr>
        <w:rPr>
          <w:rFonts w:ascii="Verdana" w:hAnsi="Verdana"/>
          <w:sz w:val="18"/>
          <w:szCs w:val="18"/>
        </w:rPr>
      </w:pPr>
    </w:p>
    <w:p w14:paraId="50450BBA" w14:textId="03DFB99D" w:rsidR="00A06E5E" w:rsidRDefault="00A06E5E">
      <w:pPr>
        <w:rPr>
          <w:rFonts w:ascii="Verdana" w:hAnsi="Verdana"/>
          <w:sz w:val="18"/>
          <w:szCs w:val="18"/>
        </w:rPr>
      </w:pPr>
    </w:p>
    <w:p w14:paraId="38E063BF" w14:textId="135F7A92" w:rsidR="00A06E5E" w:rsidRDefault="00A06E5E">
      <w:pPr>
        <w:rPr>
          <w:rFonts w:ascii="Verdana" w:hAnsi="Verdana"/>
          <w:sz w:val="18"/>
          <w:szCs w:val="18"/>
        </w:rPr>
      </w:pPr>
    </w:p>
    <w:p w14:paraId="50EDE0E5" w14:textId="50D99153" w:rsidR="00A06E5E" w:rsidRDefault="00A06E5E">
      <w:pPr>
        <w:rPr>
          <w:rFonts w:ascii="Verdana" w:hAnsi="Verdana"/>
          <w:sz w:val="18"/>
          <w:szCs w:val="18"/>
        </w:rPr>
      </w:pPr>
    </w:p>
    <w:p w14:paraId="45A8F8B7" w14:textId="7E5A5CF8" w:rsidR="00A06E5E" w:rsidRDefault="00A06E5E">
      <w:pPr>
        <w:rPr>
          <w:rFonts w:ascii="Verdana" w:hAnsi="Verdana"/>
          <w:sz w:val="18"/>
          <w:szCs w:val="18"/>
        </w:rPr>
      </w:pPr>
    </w:p>
    <w:p w14:paraId="6BAD83C9" w14:textId="7AA5B339" w:rsidR="00A06E5E" w:rsidRDefault="00A06E5E">
      <w:pPr>
        <w:rPr>
          <w:rFonts w:ascii="Verdana" w:hAnsi="Verdana"/>
          <w:sz w:val="18"/>
          <w:szCs w:val="18"/>
        </w:rPr>
      </w:pPr>
    </w:p>
    <w:p w14:paraId="41D97FA1" w14:textId="500208F2" w:rsidR="00A06E5E" w:rsidRDefault="00A06E5E">
      <w:pPr>
        <w:rPr>
          <w:rFonts w:ascii="Verdana" w:hAnsi="Verdana"/>
          <w:sz w:val="18"/>
          <w:szCs w:val="18"/>
        </w:rPr>
      </w:pPr>
    </w:p>
    <w:p w14:paraId="791E145C" w14:textId="12001592" w:rsidR="00A06E5E" w:rsidRDefault="00A06E5E">
      <w:pPr>
        <w:rPr>
          <w:rFonts w:ascii="Verdana" w:hAnsi="Verdana"/>
          <w:sz w:val="18"/>
          <w:szCs w:val="18"/>
        </w:rPr>
      </w:pPr>
    </w:p>
    <w:p w14:paraId="2848372A" w14:textId="757917C7" w:rsidR="00A06E5E" w:rsidRDefault="00A06E5E">
      <w:pPr>
        <w:rPr>
          <w:rFonts w:ascii="Verdana" w:hAnsi="Verdana"/>
          <w:sz w:val="18"/>
          <w:szCs w:val="18"/>
        </w:rPr>
      </w:pPr>
    </w:p>
    <w:p w14:paraId="41921F1C" w14:textId="1DC04BB7" w:rsidR="00A06E5E" w:rsidRDefault="00A06E5E">
      <w:pPr>
        <w:rPr>
          <w:rFonts w:ascii="Verdana" w:hAnsi="Verdana"/>
          <w:sz w:val="18"/>
          <w:szCs w:val="18"/>
        </w:rPr>
      </w:pPr>
    </w:p>
    <w:p w14:paraId="75257D73" w14:textId="0033B024" w:rsidR="00A06E5E" w:rsidRPr="00897AC5" w:rsidRDefault="00A06E5E" w:rsidP="00A06E5E">
      <w:pPr>
        <w:jc w:val="center"/>
        <w:rPr>
          <w:rFonts w:ascii="Verdana" w:hAnsi="Verdana"/>
          <w:sz w:val="56"/>
          <w:szCs w:val="56"/>
          <w:lang w:val="en-US"/>
        </w:rPr>
      </w:pPr>
      <w:r>
        <w:rPr>
          <w:rFonts w:ascii="Verdana" w:hAnsi="Verdana"/>
          <w:sz w:val="56"/>
          <w:szCs w:val="56"/>
          <w:lang w:val="en-GB"/>
        </w:rPr>
        <w:t>Ombudsperson Regulations</w:t>
      </w:r>
    </w:p>
    <w:p w14:paraId="59F9039B" w14:textId="14FF10C5" w:rsidR="00A06E5E" w:rsidRPr="00897AC5" w:rsidRDefault="00A06E5E" w:rsidP="00A06E5E">
      <w:pPr>
        <w:jc w:val="center"/>
        <w:rPr>
          <w:rFonts w:ascii="Verdana" w:hAnsi="Verdana"/>
          <w:sz w:val="36"/>
          <w:szCs w:val="36"/>
          <w:lang w:val="en-US"/>
        </w:rPr>
      </w:pPr>
      <w:r>
        <w:rPr>
          <w:rFonts w:ascii="Verdana" w:hAnsi="Verdana"/>
          <w:sz w:val="36"/>
          <w:szCs w:val="36"/>
          <w:lang w:val="en-GB"/>
        </w:rPr>
        <w:t>Wageningen University &amp; Research</w:t>
      </w:r>
    </w:p>
    <w:p w14:paraId="5B0455D0" w14:textId="505CE0C8" w:rsidR="00A06E5E" w:rsidRPr="00897AC5" w:rsidRDefault="00A06E5E">
      <w:pPr>
        <w:rPr>
          <w:rFonts w:ascii="Verdana" w:hAnsi="Verdana"/>
          <w:sz w:val="18"/>
          <w:szCs w:val="18"/>
          <w:lang w:val="en-US"/>
        </w:rPr>
      </w:pPr>
    </w:p>
    <w:p w14:paraId="162838CB" w14:textId="201778F3" w:rsidR="00A06E5E" w:rsidRPr="00897AC5" w:rsidRDefault="00A06E5E">
      <w:pPr>
        <w:rPr>
          <w:rFonts w:ascii="Verdana" w:hAnsi="Verdana"/>
          <w:sz w:val="18"/>
          <w:szCs w:val="18"/>
          <w:lang w:val="en-US"/>
        </w:rPr>
      </w:pPr>
    </w:p>
    <w:p w14:paraId="3F87B468" w14:textId="5420C11D" w:rsidR="00A06E5E" w:rsidRPr="00897AC5" w:rsidRDefault="00A06E5E">
      <w:pPr>
        <w:rPr>
          <w:rFonts w:ascii="Verdana" w:hAnsi="Verdana"/>
          <w:sz w:val="18"/>
          <w:szCs w:val="18"/>
          <w:lang w:val="en-US"/>
        </w:rPr>
      </w:pPr>
    </w:p>
    <w:p w14:paraId="079D4C61" w14:textId="3887ECB8" w:rsidR="00A06E5E" w:rsidRPr="00897AC5" w:rsidRDefault="00A06E5E">
      <w:pPr>
        <w:rPr>
          <w:rFonts w:ascii="Verdana" w:hAnsi="Verdana"/>
          <w:sz w:val="18"/>
          <w:szCs w:val="18"/>
          <w:lang w:val="en-US"/>
        </w:rPr>
      </w:pPr>
    </w:p>
    <w:p w14:paraId="5191339F" w14:textId="4A76405D" w:rsidR="00A06E5E" w:rsidRPr="00897AC5" w:rsidRDefault="00A06E5E">
      <w:pPr>
        <w:rPr>
          <w:rFonts w:ascii="Verdana" w:hAnsi="Verdana"/>
          <w:sz w:val="18"/>
          <w:szCs w:val="18"/>
          <w:lang w:val="en-US"/>
        </w:rPr>
      </w:pPr>
    </w:p>
    <w:p w14:paraId="35901550" w14:textId="738E7C9F" w:rsidR="00A06E5E" w:rsidRPr="00897AC5" w:rsidRDefault="00A06E5E">
      <w:pPr>
        <w:rPr>
          <w:rFonts w:ascii="Verdana" w:hAnsi="Verdana"/>
          <w:sz w:val="18"/>
          <w:szCs w:val="18"/>
          <w:lang w:val="en-US"/>
        </w:rPr>
      </w:pPr>
    </w:p>
    <w:p w14:paraId="3C4FC271" w14:textId="5AE34B6E" w:rsidR="00A06E5E" w:rsidRPr="00897AC5" w:rsidRDefault="00A06E5E">
      <w:pPr>
        <w:rPr>
          <w:rFonts w:ascii="Verdana" w:hAnsi="Verdana"/>
          <w:sz w:val="18"/>
          <w:szCs w:val="18"/>
          <w:lang w:val="en-US"/>
        </w:rPr>
      </w:pPr>
    </w:p>
    <w:p w14:paraId="5CD1A7C1" w14:textId="721D8D6C" w:rsidR="00A06E5E" w:rsidRPr="00897AC5" w:rsidRDefault="00A06E5E">
      <w:pPr>
        <w:rPr>
          <w:rFonts w:ascii="Verdana" w:hAnsi="Verdana"/>
          <w:sz w:val="18"/>
          <w:szCs w:val="18"/>
          <w:lang w:val="en-US"/>
        </w:rPr>
      </w:pPr>
    </w:p>
    <w:p w14:paraId="72C7612A" w14:textId="65E78F0D" w:rsidR="00A06E5E" w:rsidRPr="00897AC5" w:rsidRDefault="00A06E5E">
      <w:pPr>
        <w:rPr>
          <w:rFonts w:ascii="Verdana" w:hAnsi="Verdana"/>
          <w:sz w:val="18"/>
          <w:szCs w:val="18"/>
          <w:lang w:val="en-US"/>
        </w:rPr>
      </w:pPr>
    </w:p>
    <w:p w14:paraId="7F67DD3B" w14:textId="4E9F15C5" w:rsidR="00A06E5E" w:rsidRPr="00897AC5" w:rsidRDefault="00A06E5E">
      <w:pPr>
        <w:rPr>
          <w:rFonts w:ascii="Verdana" w:hAnsi="Verdana"/>
          <w:sz w:val="18"/>
          <w:szCs w:val="18"/>
          <w:lang w:val="en-US"/>
        </w:rPr>
      </w:pPr>
    </w:p>
    <w:p w14:paraId="481311CA" w14:textId="1E9E4974" w:rsidR="00A06E5E" w:rsidRPr="00897AC5" w:rsidRDefault="00A06E5E">
      <w:pPr>
        <w:rPr>
          <w:rFonts w:ascii="Verdana" w:hAnsi="Verdana"/>
          <w:sz w:val="18"/>
          <w:szCs w:val="18"/>
          <w:lang w:val="en-US"/>
        </w:rPr>
      </w:pPr>
    </w:p>
    <w:p w14:paraId="39749D2A" w14:textId="49BE2CAC" w:rsidR="00A06E5E" w:rsidRPr="00897AC5" w:rsidRDefault="00A06E5E">
      <w:pPr>
        <w:rPr>
          <w:rFonts w:ascii="Verdana" w:hAnsi="Verdana"/>
          <w:sz w:val="18"/>
          <w:szCs w:val="18"/>
          <w:lang w:val="en-US"/>
        </w:rPr>
      </w:pPr>
    </w:p>
    <w:p w14:paraId="1FC4A937" w14:textId="569C5794" w:rsidR="00A06E5E" w:rsidRPr="00897AC5" w:rsidRDefault="00A06E5E">
      <w:pPr>
        <w:rPr>
          <w:rFonts w:ascii="Verdana" w:hAnsi="Verdana"/>
          <w:sz w:val="18"/>
          <w:szCs w:val="18"/>
          <w:lang w:val="en-US"/>
        </w:rPr>
      </w:pPr>
    </w:p>
    <w:p w14:paraId="46D8B63C" w14:textId="02D4041A" w:rsidR="00A06E5E" w:rsidRPr="00897AC5" w:rsidRDefault="00A06E5E">
      <w:pPr>
        <w:rPr>
          <w:rFonts w:ascii="Verdana" w:hAnsi="Verdana"/>
          <w:sz w:val="18"/>
          <w:szCs w:val="18"/>
          <w:lang w:val="en-US"/>
        </w:rPr>
      </w:pPr>
    </w:p>
    <w:p w14:paraId="1AAE06EE" w14:textId="214C95C2" w:rsidR="00A06E5E" w:rsidRPr="00897AC5" w:rsidRDefault="00A06E5E">
      <w:pPr>
        <w:rPr>
          <w:rFonts w:ascii="Verdana" w:hAnsi="Verdana"/>
          <w:sz w:val="18"/>
          <w:szCs w:val="18"/>
          <w:lang w:val="en-US"/>
        </w:rPr>
      </w:pPr>
    </w:p>
    <w:p w14:paraId="1219EDEC" w14:textId="07C9444A" w:rsidR="00A06E5E" w:rsidRPr="00897AC5" w:rsidRDefault="00A06E5E">
      <w:pPr>
        <w:rPr>
          <w:rFonts w:ascii="Verdana" w:hAnsi="Verdana"/>
          <w:sz w:val="18"/>
          <w:szCs w:val="18"/>
          <w:lang w:val="en-US"/>
        </w:rPr>
      </w:pPr>
    </w:p>
    <w:p w14:paraId="4F4D7E48" w14:textId="6AF28139" w:rsidR="00A06E5E" w:rsidRPr="00897AC5" w:rsidRDefault="00A06E5E">
      <w:pPr>
        <w:rPr>
          <w:rFonts w:ascii="Verdana" w:hAnsi="Verdana"/>
          <w:sz w:val="18"/>
          <w:szCs w:val="18"/>
          <w:lang w:val="en-US"/>
        </w:rPr>
      </w:pPr>
    </w:p>
    <w:p w14:paraId="74544537" w14:textId="5FF04331" w:rsidR="00A06E5E" w:rsidRPr="00897AC5" w:rsidRDefault="00A06E5E">
      <w:pPr>
        <w:rPr>
          <w:rFonts w:ascii="Verdana" w:hAnsi="Verdana"/>
          <w:sz w:val="18"/>
          <w:szCs w:val="18"/>
          <w:lang w:val="en-US"/>
        </w:rPr>
      </w:pPr>
    </w:p>
    <w:p w14:paraId="1F4EA484" w14:textId="270A1D25" w:rsidR="00A06E5E" w:rsidRPr="00897AC5" w:rsidRDefault="00A06E5E">
      <w:pPr>
        <w:rPr>
          <w:rFonts w:ascii="Verdana" w:hAnsi="Verdana"/>
          <w:sz w:val="18"/>
          <w:szCs w:val="18"/>
          <w:lang w:val="en-US"/>
        </w:rPr>
      </w:pPr>
    </w:p>
    <w:p w14:paraId="4A0CC8F7" w14:textId="6786923B" w:rsidR="00A06E5E" w:rsidRPr="00897AC5" w:rsidRDefault="00A06E5E">
      <w:pPr>
        <w:rPr>
          <w:rFonts w:ascii="Verdana" w:hAnsi="Verdana"/>
          <w:sz w:val="18"/>
          <w:szCs w:val="18"/>
          <w:lang w:val="en-US"/>
        </w:rPr>
      </w:pPr>
    </w:p>
    <w:p w14:paraId="30A4CDDB" w14:textId="3D7A1E07" w:rsidR="00A06E5E" w:rsidRPr="00897AC5" w:rsidRDefault="00A06E5E">
      <w:pPr>
        <w:rPr>
          <w:rFonts w:ascii="Verdana" w:hAnsi="Verdana"/>
          <w:sz w:val="18"/>
          <w:szCs w:val="18"/>
          <w:lang w:val="en-US"/>
        </w:rPr>
      </w:pPr>
    </w:p>
    <w:p w14:paraId="10DED9B9" w14:textId="50534641" w:rsidR="00A06E5E" w:rsidRPr="00897AC5" w:rsidRDefault="00A06E5E">
      <w:pPr>
        <w:rPr>
          <w:rFonts w:ascii="Verdana" w:hAnsi="Verdana"/>
          <w:sz w:val="18"/>
          <w:szCs w:val="18"/>
          <w:lang w:val="en-US"/>
        </w:rPr>
      </w:pPr>
    </w:p>
    <w:p w14:paraId="25BB005C" w14:textId="12098D9C" w:rsidR="00A06E5E" w:rsidRPr="00897AC5" w:rsidRDefault="00A06E5E">
      <w:pPr>
        <w:rPr>
          <w:rFonts w:ascii="Verdana" w:hAnsi="Verdana"/>
          <w:sz w:val="18"/>
          <w:szCs w:val="18"/>
          <w:lang w:val="en-US"/>
        </w:rPr>
      </w:pPr>
    </w:p>
    <w:p w14:paraId="138A5864" w14:textId="3D6DA914" w:rsidR="00A06E5E" w:rsidRPr="00897AC5" w:rsidRDefault="00A06E5E">
      <w:pPr>
        <w:rPr>
          <w:rFonts w:ascii="Verdana" w:hAnsi="Verdana"/>
          <w:sz w:val="18"/>
          <w:szCs w:val="18"/>
          <w:lang w:val="en-US"/>
        </w:rPr>
      </w:pPr>
    </w:p>
    <w:p w14:paraId="32FC394F" w14:textId="112F6BC3" w:rsidR="00A06E5E" w:rsidRPr="00897AC5" w:rsidRDefault="00A06E5E">
      <w:pPr>
        <w:rPr>
          <w:rFonts w:ascii="Verdana" w:hAnsi="Verdana"/>
          <w:sz w:val="18"/>
          <w:szCs w:val="18"/>
          <w:lang w:val="en-US"/>
        </w:rPr>
      </w:pPr>
    </w:p>
    <w:p w14:paraId="6345C612" w14:textId="06CC7D27" w:rsidR="00A06E5E" w:rsidRPr="00897AC5" w:rsidRDefault="00A06E5E">
      <w:pPr>
        <w:rPr>
          <w:rFonts w:ascii="Verdana" w:hAnsi="Verdana"/>
          <w:sz w:val="18"/>
          <w:szCs w:val="18"/>
          <w:lang w:val="en-US"/>
        </w:rPr>
      </w:pPr>
    </w:p>
    <w:p w14:paraId="6DEA081F" w14:textId="46468DFD" w:rsidR="00A06E5E" w:rsidRPr="00897AC5" w:rsidRDefault="00A06E5E">
      <w:pPr>
        <w:rPr>
          <w:rFonts w:ascii="Verdana" w:hAnsi="Verdana"/>
          <w:sz w:val="18"/>
          <w:szCs w:val="18"/>
          <w:lang w:val="en-US"/>
        </w:rPr>
      </w:pPr>
    </w:p>
    <w:p w14:paraId="1BC1FF26" w14:textId="7C661F48" w:rsidR="00A06E5E" w:rsidRPr="00897AC5" w:rsidRDefault="00A06E5E">
      <w:pPr>
        <w:rPr>
          <w:rFonts w:ascii="Verdana" w:hAnsi="Verdana"/>
          <w:sz w:val="18"/>
          <w:szCs w:val="18"/>
          <w:lang w:val="en-US"/>
        </w:rPr>
      </w:pPr>
    </w:p>
    <w:p w14:paraId="74CAFC1F" w14:textId="2A3731EA" w:rsidR="00A06E5E" w:rsidRPr="00897AC5" w:rsidRDefault="00A06E5E">
      <w:pPr>
        <w:rPr>
          <w:rFonts w:ascii="Verdana" w:hAnsi="Verdana"/>
          <w:sz w:val="18"/>
          <w:szCs w:val="18"/>
          <w:lang w:val="en-US"/>
        </w:rPr>
      </w:pPr>
    </w:p>
    <w:p w14:paraId="2282B334" w14:textId="0B219987" w:rsidR="00A06E5E" w:rsidRPr="00897AC5" w:rsidRDefault="00A06E5E">
      <w:pPr>
        <w:rPr>
          <w:rFonts w:ascii="Verdana" w:hAnsi="Verdana"/>
          <w:sz w:val="18"/>
          <w:szCs w:val="18"/>
          <w:lang w:val="en-US"/>
        </w:rPr>
      </w:pPr>
    </w:p>
    <w:p w14:paraId="230B7609" w14:textId="09BBEE45" w:rsidR="00A06E5E" w:rsidRPr="00897AC5" w:rsidRDefault="00A06E5E">
      <w:pPr>
        <w:rPr>
          <w:rFonts w:ascii="Verdana" w:hAnsi="Verdana"/>
          <w:sz w:val="18"/>
          <w:szCs w:val="18"/>
          <w:lang w:val="en-US"/>
        </w:rPr>
      </w:pPr>
    </w:p>
    <w:p w14:paraId="09B08CFC" w14:textId="551D50B3" w:rsidR="00A06E5E" w:rsidRPr="00897AC5" w:rsidRDefault="00A06E5E">
      <w:pPr>
        <w:rPr>
          <w:rFonts w:ascii="Verdana" w:hAnsi="Verdana"/>
          <w:sz w:val="18"/>
          <w:szCs w:val="18"/>
          <w:lang w:val="en-US"/>
        </w:rPr>
      </w:pPr>
    </w:p>
    <w:p w14:paraId="60ADC2DC" w14:textId="051957FA" w:rsidR="00A06E5E" w:rsidRPr="00897AC5" w:rsidRDefault="00A06E5E">
      <w:pPr>
        <w:rPr>
          <w:rFonts w:ascii="Verdana" w:hAnsi="Verdana"/>
          <w:sz w:val="18"/>
          <w:szCs w:val="18"/>
          <w:lang w:val="en-US"/>
        </w:rPr>
      </w:pPr>
    </w:p>
    <w:p w14:paraId="3850D46F" w14:textId="0FF26C29" w:rsidR="00A06E5E" w:rsidRPr="00897AC5" w:rsidRDefault="00A06E5E">
      <w:pPr>
        <w:rPr>
          <w:rFonts w:ascii="Verdana" w:hAnsi="Verdana"/>
          <w:sz w:val="18"/>
          <w:szCs w:val="18"/>
          <w:lang w:val="en-US"/>
        </w:rPr>
      </w:pPr>
    </w:p>
    <w:p w14:paraId="622C1F75" w14:textId="51BFBF0B" w:rsidR="00A06E5E" w:rsidRPr="00897AC5" w:rsidRDefault="00A06E5E">
      <w:pPr>
        <w:rPr>
          <w:rFonts w:ascii="Verdana" w:hAnsi="Verdana"/>
          <w:sz w:val="18"/>
          <w:szCs w:val="18"/>
          <w:lang w:val="en-US"/>
        </w:rPr>
      </w:pPr>
    </w:p>
    <w:p w14:paraId="4410E648" w14:textId="575F3777" w:rsidR="00A06E5E" w:rsidRPr="00897AC5" w:rsidRDefault="00A06E5E">
      <w:pPr>
        <w:rPr>
          <w:rFonts w:ascii="Verdana" w:hAnsi="Verdana"/>
          <w:sz w:val="18"/>
          <w:szCs w:val="18"/>
          <w:lang w:val="en-US"/>
        </w:rPr>
      </w:pPr>
    </w:p>
    <w:p w14:paraId="7ADFABDD" w14:textId="71D1431B" w:rsidR="00A06E5E" w:rsidRPr="00897AC5" w:rsidRDefault="00A06E5E">
      <w:pPr>
        <w:rPr>
          <w:rFonts w:ascii="Verdana" w:hAnsi="Verdana"/>
          <w:sz w:val="18"/>
          <w:szCs w:val="18"/>
          <w:lang w:val="en-US"/>
        </w:rPr>
      </w:pPr>
    </w:p>
    <w:p w14:paraId="04084C89" w14:textId="4D6CE2A2" w:rsidR="00A06E5E" w:rsidRPr="00897AC5" w:rsidRDefault="00A06E5E">
      <w:pPr>
        <w:rPr>
          <w:rFonts w:ascii="Verdana" w:hAnsi="Verdana"/>
          <w:sz w:val="18"/>
          <w:szCs w:val="18"/>
          <w:lang w:val="en-US"/>
        </w:rPr>
      </w:pPr>
    </w:p>
    <w:p w14:paraId="653F49E6" w14:textId="4802EFB8" w:rsidR="00A06E5E" w:rsidRPr="00897AC5" w:rsidRDefault="00A06E5E">
      <w:pPr>
        <w:rPr>
          <w:rFonts w:ascii="Verdana" w:hAnsi="Verdana"/>
          <w:sz w:val="18"/>
          <w:szCs w:val="18"/>
          <w:lang w:val="en-US"/>
        </w:rPr>
      </w:pPr>
    </w:p>
    <w:p w14:paraId="33B346A7" w14:textId="7FAA4237" w:rsidR="00A06E5E" w:rsidRPr="00897AC5" w:rsidRDefault="00A06E5E">
      <w:pPr>
        <w:rPr>
          <w:rFonts w:ascii="Verdana" w:hAnsi="Verdana"/>
          <w:sz w:val="18"/>
          <w:szCs w:val="18"/>
          <w:lang w:val="en-US"/>
        </w:rPr>
      </w:pPr>
    </w:p>
    <w:p w14:paraId="41BB381C" w14:textId="46645506" w:rsidR="00A06E5E" w:rsidRPr="00897AC5" w:rsidRDefault="00A06E5E">
      <w:pPr>
        <w:rPr>
          <w:rFonts w:ascii="Verdana" w:hAnsi="Verdana"/>
          <w:sz w:val="18"/>
          <w:szCs w:val="18"/>
          <w:lang w:val="en-US"/>
        </w:rPr>
      </w:pPr>
    </w:p>
    <w:p w14:paraId="121EB2A1" w14:textId="77777777" w:rsidR="00A06E5E" w:rsidRPr="00897AC5" w:rsidRDefault="00A06E5E">
      <w:pPr>
        <w:rPr>
          <w:rFonts w:ascii="Verdana" w:hAnsi="Verdana"/>
          <w:sz w:val="18"/>
          <w:szCs w:val="18"/>
          <w:lang w:val="en-US"/>
        </w:rPr>
      </w:pPr>
    </w:p>
    <w:p w14:paraId="15BFA111" w14:textId="77777777" w:rsidR="00540550" w:rsidRPr="00897AC5" w:rsidRDefault="00540550" w:rsidP="001661B4">
      <w:pPr>
        <w:spacing w:line="276" w:lineRule="auto"/>
        <w:rPr>
          <w:rFonts w:ascii="Verdana" w:hAnsi="Verdana"/>
          <w:sz w:val="18"/>
          <w:szCs w:val="18"/>
          <w:lang w:val="en-US"/>
        </w:rPr>
      </w:pPr>
    </w:p>
    <w:sdt>
      <w:sdtPr>
        <w:rPr>
          <w:rFonts w:ascii="Verdana" w:eastAsiaTheme="minorHAnsi" w:hAnsi="Verdana" w:cstheme="minorBidi"/>
          <w:b w:val="0"/>
          <w:bCs w:val="0"/>
          <w:color w:val="auto"/>
          <w:sz w:val="18"/>
          <w:szCs w:val="18"/>
          <w:lang w:eastAsia="en-US"/>
        </w:rPr>
        <w:id w:val="-1494257556"/>
        <w:docPartObj>
          <w:docPartGallery w:val="Table of Contents"/>
          <w:docPartUnique/>
        </w:docPartObj>
      </w:sdtPr>
      <w:sdtEndPr>
        <w:rPr>
          <w:i/>
          <w:noProof/>
        </w:rPr>
      </w:sdtEndPr>
      <w:sdtContent>
        <w:p w14:paraId="2D88EC59" w14:textId="61C8126D" w:rsidR="00540550" w:rsidRPr="00897AC5" w:rsidRDefault="00540550" w:rsidP="001661B4">
          <w:pPr>
            <w:pStyle w:val="Kopvaninhoudsopgave"/>
            <w:rPr>
              <w:rFonts w:ascii="Verdana" w:hAnsi="Verdana"/>
              <w:b w:val="0"/>
              <w:i/>
              <w:sz w:val="20"/>
              <w:szCs w:val="20"/>
              <w:lang w:val="en-US"/>
            </w:rPr>
          </w:pPr>
          <w:r>
            <w:rPr>
              <w:rFonts w:ascii="Verdana" w:hAnsi="Verdana"/>
              <w:b w:val="0"/>
              <w:bCs w:val="0"/>
              <w:i/>
              <w:iCs/>
              <w:sz w:val="20"/>
              <w:szCs w:val="20"/>
              <w:lang w:val="en-GB"/>
            </w:rPr>
            <w:t>Table of contents</w:t>
          </w:r>
        </w:p>
        <w:p w14:paraId="425BD252" w14:textId="476624B7" w:rsidR="001F4A0E" w:rsidRDefault="00540550">
          <w:pPr>
            <w:pStyle w:val="Inhopg1"/>
            <w:tabs>
              <w:tab w:val="right" w:leader="dot" w:pos="8630"/>
            </w:tabs>
            <w:rPr>
              <w:rFonts w:eastAsiaTheme="minorEastAsia"/>
              <w:b w:val="0"/>
              <w:bCs w:val="0"/>
              <w:noProof/>
              <w:sz w:val="24"/>
              <w:szCs w:val="24"/>
              <w:lang w:eastAsia="nl-NL"/>
            </w:rPr>
          </w:pPr>
          <w:r>
            <w:rPr>
              <w:rFonts w:ascii="Verdana" w:hAnsi="Verdana"/>
              <w:b w:val="0"/>
              <w:bCs w:val="0"/>
              <w:i/>
              <w:iCs/>
              <w:sz w:val="18"/>
              <w:szCs w:val="18"/>
              <w:lang w:val="en-GB"/>
            </w:rPr>
            <w:fldChar w:fldCharType="begin"/>
          </w:r>
          <w:r>
            <w:rPr>
              <w:rFonts w:ascii="Verdana" w:hAnsi="Verdana"/>
              <w:b w:val="0"/>
              <w:bCs w:val="0"/>
              <w:i/>
              <w:sz w:val="18"/>
              <w:szCs w:val="18"/>
            </w:rPr>
            <w:instrText>TOC \o "1-3" \h \z \u</w:instrText>
          </w:r>
          <w:r>
            <w:rPr>
              <w:rFonts w:ascii="Verdana" w:hAnsi="Verdana"/>
              <w:b w:val="0"/>
              <w:bCs w:val="0"/>
              <w:i/>
              <w:sz w:val="18"/>
              <w:szCs w:val="18"/>
            </w:rPr>
            <w:fldChar w:fldCharType="separate"/>
          </w:r>
          <w:hyperlink w:anchor="_Toc82534032" w:history="1">
            <w:r w:rsidR="001F4A0E" w:rsidRPr="002D305C">
              <w:rPr>
                <w:rStyle w:val="Hyperlink"/>
                <w:rFonts w:ascii="Verdana" w:hAnsi="Verdana"/>
                <w:noProof/>
                <w:lang w:val="en-GB"/>
              </w:rPr>
              <w:t>Introduction</w:t>
            </w:r>
            <w:r w:rsidR="001F4A0E">
              <w:rPr>
                <w:noProof/>
                <w:webHidden/>
              </w:rPr>
              <w:tab/>
            </w:r>
            <w:r w:rsidR="001F4A0E">
              <w:rPr>
                <w:noProof/>
                <w:webHidden/>
              </w:rPr>
              <w:fldChar w:fldCharType="begin"/>
            </w:r>
            <w:r w:rsidR="001F4A0E">
              <w:rPr>
                <w:noProof/>
                <w:webHidden/>
              </w:rPr>
              <w:instrText xml:space="preserve"> PAGEREF _Toc82534032 \h </w:instrText>
            </w:r>
            <w:r w:rsidR="001F4A0E">
              <w:rPr>
                <w:noProof/>
                <w:webHidden/>
              </w:rPr>
            </w:r>
            <w:r w:rsidR="001F4A0E">
              <w:rPr>
                <w:noProof/>
                <w:webHidden/>
              </w:rPr>
              <w:fldChar w:fldCharType="separate"/>
            </w:r>
            <w:r w:rsidR="001F4A0E">
              <w:rPr>
                <w:noProof/>
                <w:webHidden/>
              </w:rPr>
              <w:t>3</w:t>
            </w:r>
            <w:r w:rsidR="001F4A0E">
              <w:rPr>
                <w:noProof/>
                <w:webHidden/>
              </w:rPr>
              <w:fldChar w:fldCharType="end"/>
            </w:r>
          </w:hyperlink>
        </w:p>
        <w:p w14:paraId="57A073FF" w14:textId="5DC1E866" w:rsidR="001F4A0E" w:rsidRDefault="000F5D87">
          <w:pPr>
            <w:pStyle w:val="Inhopg1"/>
            <w:tabs>
              <w:tab w:val="right" w:leader="dot" w:pos="8630"/>
            </w:tabs>
            <w:rPr>
              <w:rFonts w:eastAsiaTheme="minorEastAsia"/>
              <w:b w:val="0"/>
              <w:bCs w:val="0"/>
              <w:noProof/>
              <w:sz w:val="24"/>
              <w:szCs w:val="24"/>
              <w:lang w:eastAsia="nl-NL"/>
            </w:rPr>
          </w:pPr>
          <w:hyperlink w:anchor="_Toc82534033" w:history="1">
            <w:r w:rsidR="001F4A0E" w:rsidRPr="002D305C">
              <w:rPr>
                <w:rStyle w:val="Hyperlink"/>
                <w:rFonts w:ascii="Verdana" w:hAnsi="Verdana"/>
                <w:noProof/>
                <w:lang w:val="en-GB"/>
              </w:rPr>
              <w:t>Article 1 – Definitions</w:t>
            </w:r>
            <w:r w:rsidR="001F4A0E">
              <w:rPr>
                <w:noProof/>
                <w:webHidden/>
              </w:rPr>
              <w:tab/>
            </w:r>
            <w:r w:rsidR="001F4A0E">
              <w:rPr>
                <w:noProof/>
                <w:webHidden/>
              </w:rPr>
              <w:fldChar w:fldCharType="begin"/>
            </w:r>
            <w:r w:rsidR="001F4A0E">
              <w:rPr>
                <w:noProof/>
                <w:webHidden/>
              </w:rPr>
              <w:instrText xml:space="preserve"> PAGEREF _Toc82534033 \h </w:instrText>
            </w:r>
            <w:r w:rsidR="001F4A0E">
              <w:rPr>
                <w:noProof/>
                <w:webHidden/>
              </w:rPr>
            </w:r>
            <w:r w:rsidR="001F4A0E">
              <w:rPr>
                <w:noProof/>
                <w:webHidden/>
              </w:rPr>
              <w:fldChar w:fldCharType="separate"/>
            </w:r>
            <w:r w:rsidR="001F4A0E">
              <w:rPr>
                <w:noProof/>
                <w:webHidden/>
              </w:rPr>
              <w:t>5</w:t>
            </w:r>
            <w:r w:rsidR="001F4A0E">
              <w:rPr>
                <w:noProof/>
                <w:webHidden/>
              </w:rPr>
              <w:fldChar w:fldCharType="end"/>
            </w:r>
          </w:hyperlink>
        </w:p>
        <w:p w14:paraId="418EE02B" w14:textId="53A8967A" w:rsidR="001F4A0E" w:rsidRDefault="000F5D87">
          <w:pPr>
            <w:pStyle w:val="Inhopg1"/>
            <w:tabs>
              <w:tab w:val="right" w:leader="dot" w:pos="8630"/>
            </w:tabs>
            <w:rPr>
              <w:rFonts w:eastAsiaTheme="minorEastAsia"/>
              <w:b w:val="0"/>
              <w:bCs w:val="0"/>
              <w:noProof/>
              <w:sz w:val="24"/>
              <w:szCs w:val="24"/>
              <w:lang w:eastAsia="nl-NL"/>
            </w:rPr>
          </w:pPr>
          <w:hyperlink w:anchor="_Toc82534034" w:history="1">
            <w:r w:rsidR="001F4A0E" w:rsidRPr="002D305C">
              <w:rPr>
                <w:rStyle w:val="Hyperlink"/>
                <w:rFonts w:ascii="Verdana" w:hAnsi="Verdana"/>
                <w:noProof/>
                <w:lang w:val="en-GB"/>
              </w:rPr>
              <w:t>Article 2 – Ombudsperson</w:t>
            </w:r>
            <w:r w:rsidR="001F4A0E">
              <w:rPr>
                <w:noProof/>
                <w:webHidden/>
              </w:rPr>
              <w:tab/>
            </w:r>
            <w:r w:rsidR="001F4A0E">
              <w:rPr>
                <w:noProof/>
                <w:webHidden/>
              </w:rPr>
              <w:fldChar w:fldCharType="begin"/>
            </w:r>
            <w:r w:rsidR="001F4A0E">
              <w:rPr>
                <w:noProof/>
                <w:webHidden/>
              </w:rPr>
              <w:instrText xml:space="preserve"> PAGEREF _Toc82534034 \h </w:instrText>
            </w:r>
            <w:r w:rsidR="001F4A0E">
              <w:rPr>
                <w:noProof/>
                <w:webHidden/>
              </w:rPr>
            </w:r>
            <w:r w:rsidR="001F4A0E">
              <w:rPr>
                <w:noProof/>
                <w:webHidden/>
              </w:rPr>
              <w:fldChar w:fldCharType="separate"/>
            </w:r>
            <w:r w:rsidR="001F4A0E">
              <w:rPr>
                <w:noProof/>
                <w:webHidden/>
              </w:rPr>
              <w:t>5</w:t>
            </w:r>
            <w:r w:rsidR="001F4A0E">
              <w:rPr>
                <w:noProof/>
                <w:webHidden/>
              </w:rPr>
              <w:fldChar w:fldCharType="end"/>
            </w:r>
          </w:hyperlink>
        </w:p>
        <w:p w14:paraId="213AA5FE" w14:textId="2A187F37" w:rsidR="001F4A0E" w:rsidRDefault="000F5D87">
          <w:pPr>
            <w:pStyle w:val="Inhopg1"/>
            <w:tabs>
              <w:tab w:val="right" w:leader="dot" w:pos="8630"/>
            </w:tabs>
            <w:rPr>
              <w:rFonts w:eastAsiaTheme="minorEastAsia"/>
              <w:b w:val="0"/>
              <w:bCs w:val="0"/>
              <w:noProof/>
              <w:sz w:val="24"/>
              <w:szCs w:val="24"/>
              <w:lang w:eastAsia="nl-NL"/>
            </w:rPr>
          </w:pPr>
          <w:hyperlink w:anchor="_Toc82534035" w:history="1">
            <w:r w:rsidR="001F4A0E" w:rsidRPr="002D305C">
              <w:rPr>
                <w:rStyle w:val="Hyperlink"/>
                <w:rFonts w:ascii="Verdana" w:hAnsi="Verdana"/>
                <w:noProof/>
                <w:lang w:val="en-GB"/>
              </w:rPr>
              <w:t>Article 3 – Tasks and competencies of the ombudsperson</w:t>
            </w:r>
            <w:r w:rsidR="001F4A0E">
              <w:rPr>
                <w:noProof/>
                <w:webHidden/>
              </w:rPr>
              <w:tab/>
            </w:r>
            <w:r w:rsidR="001F4A0E">
              <w:rPr>
                <w:noProof/>
                <w:webHidden/>
              </w:rPr>
              <w:fldChar w:fldCharType="begin"/>
            </w:r>
            <w:r w:rsidR="001F4A0E">
              <w:rPr>
                <w:noProof/>
                <w:webHidden/>
              </w:rPr>
              <w:instrText xml:space="preserve"> PAGEREF _Toc82534035 \h </w:instrText>
            </w:r>
            <w:r w:rsidR="001F4A0E">
              <w:rPr>
                <w:noProof/>
                <w:webHidden/>
              </w:rPr>
            </w:r>
            <w:r w:rsidR="001F4A0E">
              <w:rPr>
                <w:noProof/>
                <w:webHidden/>
              </w:rPr>
              <w:fldChar w:fldCharType="separate"/>
            </w:r>
            <w:r w:rsidR="001F4A0E">
              <w:rPr>
                <w:noProof/>
                <w:webHidden/>
              </w:rPr>
              <w:t>6</w:t>
            </w:r>
            <w:r w:rsidR="001F4A0E">
              <w:rPr>
                <w:noProof/>
                <w:webHidden/>
              </w:rPr>
              <w:fldChar w:fldCharType="end"/>
            </w:r>
          </w:hyperlink>
        </w:p>
        <w:p w14:paraId="61FEC8FA" w14:textId="2BE594D4" w:rsidR="001F4A0E" w:rsidRDefault="000F5D87">
          <w:pPr>
            <w:pStyle w:val="Inhopg1"/>
            <w:tabs>
              <w:tab w:val="right" w:leader="dot" w:pos="8630"/>
            </w:tabs>
            <w:rPr>
              <w:rFonts w:eastAsiaTheme="minorEastAsia"/>
              <w:b w:val="0"/>
              <w:bCs w:val="0"/>
              <w:noProof/>
              <w:sz w:val="24"/>
              <w:szCs w:val="24"/>
              <w:lang w:eastAsia="nl-NL"/>
            </w:rPr>
          </w:pPr>
          <w:hyperlink w:anchor="_Toc82534036" w:history="1">
            <w:r w:rsidR="001F4A0E" w:rsidRPr="002D305C">
              <w:rPr>
                <w:rStyle w:val="Hyperlink"/>
                <w:rFonts w:ascii="Verdana" w:hAnsi="Verdana"/>
                <w:noProof/>
                <w:lang w:val="en-GB"/>
              </w:rPr>
              <w:t>Article 4 – Report</w:t>
            </w:r>
            <w:r w:rsidR="001F4A0E">
              <w:rPr>
                <w:noProof/>
                <w:webHidden/>
              </w:rPr>
              <w:tab/>
            </w:r>
            <w:r w:rsidR="001F4A0E">
              <w:rPr>
                <w:noProof/>
                <w:webHidden/>
              </w:rPr>
              <w:fldChar w:fldCharType="begin"/>
            </w:r>
            <w:r w:rsidR="001F4A0E">
              <w:rPr>
                <w:noProof/>
                <w:webHidden/>
              </w:rPr>
              <w:instrText xml:space="preserve"> PAGEREF _Toc82534036 \h </w:instrText>
            </w:r>
            <w:r w:rsidR="001F4A0E">
              <w:rPr>
                <w:noProof/>
                <w:webHidden/>
              </w:rPr>
            </w:r>
            <w:r w:rsidR="001F4A0E">
              <w:rPr>
                <w:noProof/>
                <w:webHidden/>
              </w:rPr>
              <w:fldChar w:fldCharType="separate"/>
            </w:r>
            <w:r w:rsidR="001F4A0E">
              <w:rPr>
                <w:noProof/>
                <w:webHidden/>
              </w:rPr>
              <w:t>7</w:t>
            </w:r>
            <w:r w:rsidR="001F4A0E">
              <w:rPr>
                <w:noProof/>
                <w:webHidden/>
              </w:rPr>
              <w:fldChar w:fldCharType="end"/>
            </w:r>
          </w:hyperlink>
        </w:p>
        <w:p w14:paraId="06711882" w14:textId="78D854DF" w:rsidR="001F4A0E" w:rsidRDefault="000F5D87">
          <w:pPr>
            <w:pStyle w:val="Inhopg1"/>
            <w:tabs>
              <w:tab w:val="right" w:leader="dot" w:pos="8630"/>
            </w:tabs>
            <w:rPr>
              <w:rFonts w:eastAsiaTheme="minorEastAsia"/>
              <w:b w:val="0"/>
              <w:bCs w:val="0"/>
              <w:noProof/>
              <w:sz w:val="24"/>
              <w:szCs w:val="24"/>
              <w:lang w:eastAsia="nl-NL"/>
            </w:rPr>
          </w:pPr>
          <w:hyperlink w:anchor="_Toc82534037" w:history="1">
            <w:r w:rsidR="001F4A0E" w:rsidRPr="002D305C">
              <w:rPr>
                <w:rStyle w:val="Hyperlink"/>
                <w:rFonts w:ascii="Verdana" w:hAnsi="Verdana"/>
                <w:noProof/>
                <w:lang w:val="en-GB"/>
              </w:rPr>
              <w:t>Article 5 – Consultation</w:t>
            </w:r>
            <w:r w:rsidR="001F4A0E">
              <w:rPr>
                <w:noProof/>
                <w:webHidden/>
              </w:rPr>
              <w:tab/>
            </w:r>
            <w:r w:rsidR="001F4A0E">
              <w:rPr>
                <w:noProof/>
                <w:webHidden/>
              </w:rPr>
              <w:fldChar w:fldCharType="begin"/>
            </w:r>
            <w:r w:rsidR="001F4A0E">
              <w:rPr>
                <w:noProof/>
                <w:webHidden/>
              </w:rPr>
              <w:instrText xml:space="preserve"> PAGEREF _Toc82534037 \h </w:instrText>
            </w:r>
            <w:r w:rsidR="001F4A0E">
              <w:rPr>
                <w:noProof/>
                <w:webHidden/>
              </w:rPr>
            </w:r>
            <w:r w:rsidR="001F4A0E">
              <w:rPr>
                <w:noProof/>
                <w:webHidden/>
              </w:rPr>
              <w:fldChar w:fldCharType="separate"/>
            </w:r>
            <w:r w:rsidR="001F4A0E">
              <w:rPr>
                <w:noProof/>
                <w:webHidden/>
              </w:rPr>
              <w:t>7</w:t>
            </w:r>
            <w:r w:rsidR="001F4A0E">
              <w:rPr>
                <w:noProof/>
                <w:webHidden/>
              </w:rPr>
              <w:fldChar w:fldCharType="end"/>
            </w:r>
          </w:hyperlink>
        </w:p>
        <w:p w14:paraId="3BC5E61A" w14:textId="19DDA4F2" w:rsidR="001F4A0E" w:rsidRDefault="000F5D87">
          <w:pPr>
            <w:pStyle w:val="Inhopg1"/>
            <w:tabs>
              <w:tab w:val="right" w:leader="dot" w:pos="8630"/>
            </w:tabs>
            <w:rPr>
              <w:rFonts w:eastAsiaTheme="minorEastAsia"/>
              <w:b w:val="0"/>
              <w:bCs w:val="0"/>
              <w:noProof/>
              <w:sz w:val="24"/>
              <w:szCs w:val="24"/>
              <w:lang w:eastAsia="nl-NL"/>
            </w:rPr>
          </w:pPr>
          <w:hyperlink w:anchor="_Toc82534038" w:history="1">
            <w:r w:rsidR="001F4A0E" w:rsidRPr="002D305C">
              <w:rPr>
                <w:rStyle w:val="Hyperlink"/>
                <w:rFonts w:ascii="Verdana" w:hAnsi="Verdana"/>
                <w:noProof/>
                <w:lang w:val="en-GB"/>
              </w:rPr>
              <w:t>Article 6 – The investigation report</w:t>
            </w:r>
            <w:r w:rsidR="001F4A0E">
              <w:rPr>
                <w:noProof/>
                <w:webHidden/>
              </w:rPr>
              <w:tab/>
            </w:r>
            <w:r w:rsidR="001F4A0E">
              <w:rPr>
                <w:noProof/>
                <w:webHidden/>
              </w:rPr>
              <w:fldChar w:fldCharType="begin"/>
            </w:r>
            <w:r w:rsidR="001F4A0E">
              <w:rPr>
                <w:noProof/>
                <w:webHidden/>
              </w:rPr>
              <w:instrText xml:space="preserve"> PAGEREF _Toc82534038 \h </w:instrText>
            </w:r>
            <w:r w:rsidR="001F4A0E">
              <w:rPr>
                <w:noProof/>
                <w:webHidden/>
              </w:rPr>
            </w:r>
            <w:r w:rsidR="001F4A0E">
              <w:rPr>
                <w:noProof/>
                <w:webHidden/>
              </w:rPr>
              <w:fldChar w:fldCharType="separate"/>
            </w:r>
            <w:r w:rsidR="001F4A0E">
              <w:rPr>
                <w:noProof/>
                <w:webHidden/>
              </w:rPr>
              <w:t>7</w:t>
            </w:r>
            <w:r w:rsidR="001F4A0E">
              <w:rPr>
                <w:noProof/>
                <w:webHidden/>
              </w:rPr>
              <w:fldChar w:fldCharType="end"/>
            </w:r>
          </w:hyperlink>
        </w:p>
        <w:p w14:paraId="32195A19" w14:textId="40ED2FB2" w:rsidR="001F4A0E" w:rsidRDefault="000F5D87">
          <w:pPr>
            <w:pStyle w:val="Inhopg1"/>
            <w:tabs>
              <w:tab w:val="right" w:leader="dot" w:pos="8630"/>
            </w:tabs>
            <w:rPr>
              <w:rFonts w:eastAsiaTheme="minorEastAsia"/>
              <w:b w:val="0"/>
              <w:bCs w:val="0"/>
              <w:noProof/>
              <w:sz w:val="24"/>
              <w:szCs w:val="24"/>
              <w:lang w:eastAsia="nl-NL"/>
            </w:rPr>
          </w:pPr>
          <w:hyperlink w:anchor="_Toc82534039" w:history="1">
            <w:r w:rsidR="001F4A0E" w:rsidRPr="002D305C">
              <w:rPr>
                <w:rStyle w:val="Hyperlink"/>
                <w:rFonts w:ascii="Verdana" w:hAnsi="Verdana"/>
                <w:noProof/>
                <w:lang w:val="en-GB"/>
              </w:rPr>
              <w:t>Article 7 – The findings</w:t>
            </w:r>
            <w:r w:rsidR="001F4A0E">
              <w:rPr>
                <w:noProof/>
                <w:webHidden/>
              </w:rPr>
              <w:tab/>
            </w:r>
            <w:r w:rsidR="001F4A0E">
              <w:rPr>
                <w:noProof/>
                <w:webHidden/>
              </w:rPr>
              <w:fldChar w:fldCharType="begin"/>
            </w:r>
            <w:r w:rsidR="001F4A0E">
              <w:rPr>
                <w:noProof/>
                <w:webHidden/>
              </w:rPr>
              <w:instrText xml:space="preserve"> PAGEREF _Toc82534039 \h </w:instrText>
            </w:r>
            <w:r w:rsidR="001F4A0E">
              <w:rPr>
                <w:noProof/>
                <w:webHidden/>
              </w:rPr>
            </w:r>
            <w:r w:rsidR="001F4A0E">
              <w:rPr>
                <w:noProof/>
                <w:webHidden/>
              </w:rPr>
              <w:fldChar w:fldCharType="separate"/>
            </w:r>
            <w:r w:rsidR="001F4A0E">
              <w:rPr>
                <w:noProof/>
                <w:webHidden/>
              </w:rPr>
              <w:t>8</w:t>
            </w:r>
            <w:r w:rsidR="001F4A0E">
              <w:rPr>
                <w:noProof/>
                <w:webHidden/>
              </w:rPr>
              <w:fldChar w:fldCharType="end"/>
            </w:r>
          </w:hyperlink>
        </w:p>
        <w:p w14:paraId="11A24514" w14:textId="4706B8A7" w:rsidR="001F4A0E" w:rsidRDefault="000F5D87">
          <w:pPr>
            <w:pStyle w:val="Inhopg1"/>
            <w:tabs>
              <w:tab w:val="right" w:leader="dot" w:pos="8630"/>
            </w:tabs>
            <w:rPr>
              <w:rFonts w:eastAsiaTheme="minorEastAsia"/>
              <w:b w:val="0"/>
              <w:bCs w:val="0"/>
              <w:noProof/>
              <w:sz w:val="24"/>
              <w:szCs w:val="24"/>
              <w:lang w:eastAsia="nl-NL"/>
            </w:rPr>
          </w:pPr>
          <w:hyperlink w:anchor="_Toc82534040" w:history="1">
            <w:r w:rsidR="001F4A0E" w:rsidRPr="002D305C">
              <w:rPr>
                <w:rStyle w:val="Hyperlink"/>
                <w:rFonts w:ascii="Verdana" w:hAnsi="Verdana"/>
                <w:noProof/>
                <w:lang w:val="en-GB"/>
              </w:rPr>
              <w:t>Article 8 – Investigations on own initiative</w:t>
            </w:r>
            <w:r w:rsidR="001F4A0E">
              <w:rPr>
                <w:noProof/>
                <w:webHidden/>
              </w:rPr>
              <w:tab/>
            </w:r>
            <w:r w:rsidR="001F4A0E">
              <w:rPr>
                <w:noProof/>
                <w:webHidden/>
              </w:rPr>
              <w:fldChar w:fldCharType="begin"/>
            </w:r>
            <w:r w:rsidR="001F4A0E">
              <w:rPr>
                <w:noProof/>
                <w:webHidden/>
              </w:rPr>
              <w:instrText xml:space="preserve"> PAGEREF _Toc82534040 \h </w:instrText>
            </w:r>
            <w:r w:rsidR="001F4A0E">
              <w:rPr>
                <w:noProof/>
                <w:webHidden/>
              </w:rPr>
            </w:r>
            <w:r w:rsidR="001F4A0E">
              <w:rPr>
                <w:noProof/>
                <w:webHidden/>
              </w:rPr>
              <w:fldChar w:fldCharType="separate"/>
            </w:r>
            <w:r w:rsidR="001F4A0E">
              <w:rPr>
                <w:noProof/>
                <w:webHidden/>
              </w:rPr>
              <w:t>9</w:t>
            </w:r>
            <w:r w:rsidR="001F4A0E">
              <w:rPr>
                <w:noProof/>
                <w:webHidden/>
              </w:rPr>
              <w:fldChar w:fldCharType="end"/>
            </w:r>
          </w:hyperlink>
        </w:p>
        <w:p w14:paraId="1940DB7F" w14:textId="03A663F8" w:rsidR="001F4A0E" w:rsidRDefault="000F5D87">
          <w:pPr>
            <w:pStyle w:val="Inhopg1"/>
            <w:tabs>
              <w:tab w:val="right" w:leader="dot" w:pos="8630"/>
            </w:tabs>
            <w:rPr>
              <w:rFonts w:eastAsiaTheme="minorEastAsia"/>
              <w:b w:val="0"/>
              <w:bCs w:val="0"/>
              <w:noProof/>
              <w:sz w:val="24"/>
              <w:szCs w:val="24"/>
              <w:lang w:eastAsia="nl-NL"/>
            </w:rPr>
          </w:pPr>
          <w:hyperlink w:anchor="_Toc82534041" w:history="1">
            <w:r w:rsidR="001F4A0E" w:rsidRPr="002D305C">
              <w:rPr>
                <w:rStyle w:val="Hyperlink"/>
                <w:rFonts w:ascii="Verdana" w:hAnsi="Verdana"/>
                <w:noProof/>
                <w:lang w:val="en-GB"/>
              </w:rPr>
              <w:t>Article 9 – Annual Report</w:t>
            </w:r>
            <w:r w:rsidR="001F4A0E">
              <w:rPr>
                <w:noProof/>
                <w:webHidden/>
              </w:rPr>
              <w:tab/>
            </w:r>
            <w:r w:rsidR="001F4A0E">
              <w:rPr>
                <w:noProof/>
                <w:webHidden/>
              </w:rPr>
              <w:fldChar w:fldCharType="begin"/>
            </w:r>
            <w:r w:rsidR="001F4A0E">
              <w:rPr>
                <w:noProof/>
                <w:webHidden/>
              </w:rPr>
              <w:instrText xml:space="preserve"> PAGEREF _Toc82534041 \h </w:instrText>
            </w:r>
            <w:r w:rsidR="001F4A0E">
              <w:rPr>
                <w:noProof/>
                <w:webHidden/>
              </w:rPr>
            </w:r>
            <w:r w:rsidR="001F4A0E">
              <w:rPr>
                <w:noProof/>
                <w:webHidden/>
              </w:rPr>
              <w:fldChar w:fldCharType="separate"/>
            </w:r>
            <w:r w:rsidR="001F4A0E">
              <w:rPr>
                <w:noProof/>
                <w:webHidden/>
              </w:rPr>
              <w:t>9</w:t>
            </w:r>
            <w:r w:rsidR="001F4A0E">
              <w:rPr>
                <w:noProof/>
                <w:webHidden/>
              </w:rPr>
              <w:fldChar w:fldCharType="end"/>
            </w:r>
          </w:hyperlink>
        </w:p>
        <w:p w14:paraId="683158B2" w14:textId="540CA09C" w:rsidR="001F4A0E" w:rsidRDefault="000F5D87">
          <w:pPr>
            <w:pStyle w:val="Inhopg1"/>
            <w:tabs>
              <w:tab w:val="right" w:leader="dot" w:pos="8630"/>
            </w:tabs>
            <w:rPr>
              <w:rFonts w:eastAsiaTheme="minorEastAsia"/>
              <w:b w:val="0"/>
              <w:bCs w:val="0"/>
              <w:noProof/>
              <w:sz w:val="24"/>
              <w:szCs w:val="24"/>
              <w:lang w:eastAsia="nl-NL"/>
            </w:rPr>
          </w:pPr>
          <w:hyperlink w:anchor="_Toc82534042" w:history="1">
            <w:r w:rsidR="001F4A0E" w:rsidRPr="002D305C">
              <w:rPr>
                <w:rStyle w:val="Hyperlink"/>
                <w:rFonts w:ascii="Verdana" w:hAnsi="Verdana"/>
                <w:noProof/>
                <w:lang w:val="en-GB"/>
              </w:rPr>
              <w:t>Article 10 – Confidentiality</w:t>
            </w:r>
            <w:r w:rsidR="001F4A0E">
              <w:rPr>
                <w:noProof/>
                <w:webHidden/>
              </w:rPr>
              <w:tab/>
            </w:r>
            <w:r w:rsidR="001F4A0E">
              <w:rPr>
                <w:noProof/>
                <w:webHidden/>
              </w:rPr>
              <w:fldChar w:fldCharType="begin"/>
            </w:r>
            <w:r w:rsidR="001F4A0E">
              <w:rPr>
                <w:noProof/>
                <w:webHidden/>
              </w:rPr>
              <w:instrText xml:space="preserve"> PAGEREF _Toc82534042 \h </w:instrText>
            </w:r>
            <w:r w:rsidR="001F4A0E">
              <w:rPr>
                <w:noProof/>
                <w:webHidden/>
              </w:rPr>
            </w:r>
            <w:r w:rsidR="001F4A0E">
              <w:rPr>
                <w:noProof/>
                <w:webHidden/>
              </w:rPr>
              <w:fldChar w:fldCharType="separate"/>
            </w:r>
            <w:r w:rsidR="001F4A0E">
              <w:rPr>
                <w:noProof/>
                <w:webHidden/>
              </w:rPr>
              <w:t>9</w:t>
            </w:r>
            <w:r w:rsidR="001F4A0E">
              <w:rPr>
                <w:noProof/>
                <w:webHidden/>
              </w:rPr>
              <w:fldChar w:fldCharType="end"/>
            </w:r>
          </w:hyperlink>
        </w:p>
        <w:p w14:paraId="4824A265" w14:textId="23A96BC1" w:rsidR="001F4A0E" w:rsidRDefault="000F5D87">
          <w:pPr>
            <w:pStyle w:val="Inhopg1"/>
            <w:tabs>
              <w:tab w:val="right" w:leader="dot" w:pos="8630"/>
            </w:tabs>
            <w:rPr>
              <w:rFonts w:eastAsiaTheme="minorEastAsia"/>
              <w:b w:val="0"/>
              <w:bCs w:val="0"/>
              <w:noProof/>
              <w:sz w:val="24"/>
              <w:szCs w:val="24"/>
              <w:lang w:eastAsia="nl-NL"/>
            </w:rPr>
          </w:pPr>
          <w:hyperlink w:anchor="_Toc82534043" w:history="1">
            <w:r w:rsidR="001F4A0E" w:rsidRPr="002D305C">
              <w:rPr>
                <w:rStyle w:val="Hyperlink"/>
                <w:rFonts w:ascii="Verdana" w:hAnsi="Verdana"/>
                <w:noProof/>
                <w:lang w:val="en-GB"/>
              </w:rPr>
              <w:t>Article 11 – Archiving</w:t>
            </w:r>
            <w:r w:rsidR="001F4A0E">
              <w:rPr>
                <w:noProof/>
                <w:webHidden/>
              </w:rPr>
              <w:tab/>
            </w:r>
            <w:r w:rsidR="001F4A0E">
              <w:rPr>
                <w:noProof/>
                <w:webHidden/>
              </w:rPr>
              <w:fldChar w:fldCharType="begin"/>
            </w:r>
            <w:r w:rsidR="001F4A0E">
              <w:rPr>
                <w:noProof/>
                <w:webHidden/>
              </w:rPr>
              <w:instrText xml:space="preserve"> PAGEREF _Toc82534043 \h </w:instrText>
            </w:r>
            <w:r w:rsidR="001F4A0E">
              <w:rPr>
                <w:noProof/>
                <w:webHidden/>
              </w:rPr>
            </w:r>
            <w:r w:rsidR="001F4A0E">
              <w:rPr>
                <w:noProof/>
                <w:webHidden/>
              </w:rPr>
              <w:fldChar w:fldCharType="separate"/>
            </w:r>
            <w:r w:rsidR="001F4A0E">
              <w:rPr>
                <w:noProof/>
                <w:webHidden/>
              </w:rPr>
              <w:t>9</w:t>
            </w:r>
            <w:r w:rsidR="001F4A0E">
              <w:rPr>
                <w:noProof/>
                <w:webHidden/>
              </w:rPr>
              <w:fldChar w:fldCharType="end"/>
            </w:r>
          </w:hyperlink>
        </w:p>
        <w:p w14:paraId="4076CE97" w14:textId="58BC28FA" w:rsidR="001F4A0E" w:rsidRDefault="000F5D87">
          <w:pPr>
            <w:pStyle w:val="Inhopg1"/>
            <w:tabs>
              <w:tab w:val="right" w:leader="dot" w:pos="8630"/>
            </w:tabs>
            <w:rPr>
              <w:rFonts w:eastAsiaTheme="minorEastAsia"/>
              <w:b w:val="0"/>
              <w:bCs w:val="0"/>
              <w:noProof/>
              <w:sz w:val="24"/>
              <w:szCs w:val="24"/>
              <w:lang w:eastAsia="nl-NL"/>
            </w:rPr>
          </w:pPr>
          <w:hyperlink w:anchor="_Toc82534044" w:history="1">
            <w:r w:rsidR="001F4A0E" w:rsidRPr="002D305C">
              <w:rPr>
                <w:rStyle w:val="Hyperlink"/>
                <w:rFonts w:ascii="Verdana" w:hAnsi="Verdana"/>
                <w:noProof/>
                <w:lang w:val="en-GB"/>
              </w:rPr>
              <w:t>Article 12 – Protection</w:t>
            </w:r>
            <w:r w:rsidR="001F4A0E">
              <w:rPr>
                <w:noProof/>
                <w:webHidden/>
              </w:rPr>
              <w:tab/>
            </w:r>
            <w:r w:rsidR="001F4A0E">
              <w:rPr>
                <w:noProof/>
                <w:webHidden/>
              </w:rPr>
              <w:fldChar w:fldCharType="begin"/>
            </w:r>
            <w:r w:rsidR="001F4A0E">
              <w:rPr>
                <w:noProof/>
                <w:webHidden/>
              </w:rPr>
              <w:instrText xml:space="preserve"> PAGEREF _Toc82534044 \h </w:instrText>
            </w:r>
            <w:r w:rsidR="001F4A0E">
              <w:rPr>
                <w:noProof/>
                <w:webHidden/>
              </w:rPr>
            </w:r>
            <w:r w:rsidR="001F4A0E">
              <w:rPr>
                <w:noProof/>
                <w:webHidden/>
              </w:rPr>
              <w:fldChar w:fldCharType="separate"/>
            </w:r>
            <w:r w:rsidR="001F4A0E">
              <w:rPr>
                <w:noProof/>
                <w:webHidden/>
              </w:rPr>
              <w:t>9</w:t>
            </w:r>
            <w:r w:rsidR="001F4A0E">
              <w:rPr>
                <w:noProof/>
                <w:webHidden/>
              </w:rPr>
              <w:fldChar w:fldCharType="end"/>
            </w:r>
          </w:hyperlink>
        </w:p>
        <w:p w14:paraId="28E03ECA" w14:textId="574F8DE3" w:rsidR="001F4A0E" w:rsidRDefault="000F5D87">
          <w:pPr>
            <w:pStyle w:val="Inhopg1"/>
            <w:tabs>
              <w:tab w:val="right" w:leader="dot" w:pos="8630"/>
            </w:tabs>
            <w:rPr>
              <w:rFonts w:eastAsiaTheme="minorEastAsia"/>
              <w:b w:val="0"/>
              <w:bCs w:val="0"/>
              <w:noProof/>
              <w:sz w:val="24"/>
              <w:szCs w:val="24"/>
              <w:lang w:eastAsia="nl-NL"/>
            </w:rPr>
          </w:pPr>
          <w:hyperlink w:anchor="_Toc82534045" w:history="1">
            <w:r w:rsidR="001F4A0E" w:rsidRPr="002D305C">
              <w:rPr>
                <w:rStyle w:val="Hyperlink"/>
                <w:rFonts w:ascii="Verdana" w:hAnsi="Verdana"/>
                <w:noProof/>
                <w:lang w:val="en-GB"/>
              </w:rPr>
              <w:t>Article 13 – Official title of regulations and date of enactment</w:t>
            </w:r>
            <w:r w:rsidR="001F4A0E">
              <w:rPr>
                <w:noProof/>
                <w:webHidden/>
              </w:rPr>
              <w:tab/>
            </w:r>
            <w:r w:rsidR="001F4A0E">
              <w:rPr>
                <w:noProof/>
                <w:webHidden/>
              </w:rPr>
              <w:fldChar w:fldCharType="begin"/>
            </w:r>
            <w:r w:rsidR="001F4A0E">
              <w:rPr>
                <w:noProof/>
                <w:webHidden/>
              </w:rPr>
              <w:instrText xml:space="preserve"> PAGEREF _Toc82534045 \h </w:instrText>
            </w:r>
            <w:r w:rsidR="001F4A0E">
              <w:rPr>
                <w:noProof/>
                <w:webHidden/>
              </w:rPr>
            </w:r>
            <w:r w:rsidR="001F4A0E">
              <w:rPr>
                <w:noProof/>
                <w:webHidden/>
              </w:rPr>
              <w:fldChar w:fldCharType="separate"/>
            </w:r>
            <w:r w:rsidR="001F4A0E">
              <w:rPr>
                <w:noProof/>
                <w:webHidden/>
              </w:rPr>
              <w:t>9</w:t>
            </w:r>
            <w:r w:rsidR="001F4A0E">
              <w:rPr>
                <w:noProof/>
                <w:webHidden/>
              </w:rPr>
              <w:fldChar w:fldCharType="end"/>
            </w:r>
          </w:hyperlink>
        </w:p>
        <w:p w14:paraId="78DFD8B0" w14:textId="3DD58D3F" w:rsidR="00540550" w:rsidRPr="00A06E5E" w:rsidRDefault="00540550" w:rsidP="001661B4">
          <w:pPr>
            <w:spacing w:line="276" w:lineRule="auto"/>
            <w:rPr>
              <w:rFonts w:ascii="Verdana" w:hAnsi="Verdana"/>
              <w:i/>
              <w:sz w:val="18"/>
              <w:szCs w:val="18"/>
            </w:rPr>
          </w:pPr>
          <w:r>
            <w:rPr>
              <w:rFonts w:ascii="Verdana" w:hAnsi="Verdana"/>
              <w:i/>
              <w:noProof/>
              <w:sz w:val="18"/>
              <w:szCs w:val="18"/>
            </w:rPr>
            <w:fldChar w:fldCharType="end"/>
          </w:r>
        </w:p>
      </w:sdtContent>
    </w:sdt>
    <w:p w14:paraId="50877742" w14:textId="174647BD" w:rsidR="00540550" w:rsidRPr="00A06E5E" w:rsidRDefault="00540550" w:rsidP="001661B4">
      <w:pPr>
        <w:spacing w:line="276" w:lineRule="auto"/>
        <w:rPr>
          <w:rFonts w:ascii="Verdana" w:hAnsi="Verdana" w:cs="Verdana"/>
          <w:i/>
          <w:color w:val="000000"/>
          <w:sz w:val="18"/>
          <w:szCs w:val="18"/>
        </w:rPr>
      </w:pPr>
      <w:r>
        <w:rPr>
          <w:rFonts w:ascii="Verdana" w:hAnsi="Verdana" w:cs="Verdana"/>
          <w:i/>
          <w:iCs/>
          <w:color w:val="000000"/>
          <w:sz w:val="18"/>
          <w:szCs w:val="18"/>
          <w:lang w:val="en-GB"/>
        </w:rPr>
        <w:br w:type="page"/>
      </w:r>
    </w:p>
    <w:p w14:paraId="41BA0902" w14:textId="0AEFF2B3" w:rsidR="002B55A1" w:rsidRPr="00897AC5" w:rsidRDefault="001D263D" w:rsidP="00825D3C">
      <w:pPr>
        <w:pStyle w:val="Kop1"/>
        <w:rPr>
          <w:rFonts w:ascii="Verdana" w:hAnsi="Verdana"/>
          <w:sz w:val="24"/>
          <w:szCs w:val="24"/>
          <w:lang w:val="en-US"/>
        </w:rPr>
      </w:pPr>
      <w:bookmarkStart w:id="0" w:name="_Toc82534032"/>
      <w:r>
        <w:rPr>
          <w:rFonts w:ascii="Verdana" w:hAnsi="Verdana"/>
          <w:sz w:val="24"/>
          <w:szCs w:val="24"/>
          <w:lang w:val="en-GB"/>
        </w:rPr>
        <w:lastRenderedPageBreak/>
        <w:t>Introduction</w:t>
      </w:r>
      <w:bookmarkEnd w:id="0"/>
    </w:p>
    <w:p w14:paraId="0FA4E6F0" w14:textId="77777777" w:rsidR="002B55A1" w:rsidRPr="00897AC5" w:rsidRDefault="002B55A1" w:rsidP="001661B4">
      <w:pPr>
        <w:pStyle w:val="Default"/>
        <w:spacing w:line="276" w:lineRule="auto"/>
        <w:rPr>
          <w:sz w:val="18"/>
          <w:szCs w:val="18"/>
          <w:lang w:val="en-US"/>
        </w:rPr>
      </w:pPr>
    </w:p>
    <w:p w14:paraId="766D84F7" w14:textId="1F6FA35A" w:rsidR="00C60256" w:rsidRPr="00897AC5" w:rsidRDefault="00C60256" w:rsidP="001661B4">
      <w:pPr>
        <w:pStyle w:val="Default"/>
        <w:spacing w:line="276" w:lineRule="auto"/>
        <w:rPr>
          <w:sz w:val="18"/>
          <w:szCs w:val="18"/>
          <w:lang w:val="en-US"/>
        </w:rPr>
      </w:pPr>
      <w:r>
        <w:rPr>
          <w:sz w:val="18"/>
          <w:szCs w:val="18"/>
          <w:lang w:val="en-GB"/>
        </w:rPr>
        <w:t>The parties of the Collective Labour Agreement for Dutch Universities 2020 (‘CAO NU’) have agreed to set up an ombudsperson position at all universities involved in the CAO NU. The VSNU and the trade unions have made agreements on the appointment of a university ombudsperson position within the various universities. The approach is based on uniformity, partly because of national political and media attention. A National Framework (</w:t>
      </w:r>
      <w:r>
        <w:rPr>
          <w:b/>
          <w:bCs/>
          <w:sz w:val="18"/>
          <w:szCs w:val="18"/>
          <w:lang w:val="en-GB"/>
        </w:rPr>
        <w:t>Appendix A</w:t>
      </w:r>
      <w:r>
        <w:rPr>
          <w:sz w:val="18"/>
          <w:szCs w:val="18"/>
          <w:lang w:val="en-GB"/>
        </w:rPr>
        <w:t>) has been adopted for the organisation of the ombudsperson position. This National Framework is the starting point for the organisation of the ombudsperson position within Wageningen University &amp; Research (‘WUR’).</w:t>
      </w:r>
    </w:p>
    <w:p w14:paraId="552ED1D3" w14:textId="611A8195" w:rsidR="00C60256" w:rsidRPr="00897AC5" w:rsidRDefault="00C60256" w:rsidP="001661B4">
      <w:pPr>
        <w:pStyle w:val="Default"/>
        <w:spacing w:line="276" w:lineRule="auto"/>
        <w:rPr>
          <w:sz w:val="18"/>
          <w:szCs w:val="18"/>
          <w:lang w:val="en-US"/>
        </w:rPr>
      </w:pPr>
    </w:p>
    <w:p w14:paraId="00B8E385" w14:textId="77777777" w:rsidR="009D25DD" w:rsidRPr="00897AC5" w:rsidRDefault="00B75C0D" w:rsidP="009D25DD">
      <w:pPr>
        <w:pStyle w:val="Default"/>
        <w:spacing w:line="276" w:lineRule="auto"/>
        <w:rPr>
          <w:sz w:val="18"/>
          <w:szCs w:val="18"/>
          <w:lang w:val="en-US"/>
        </w:rPr>
      </w:pPr>
      <w:r>
        <w:rPr>
          <w:sz w:val="18"/>
          <w:szCs w:val="18"/>
          <w:lang w:val="en-GB"/>
        </w:rPr>
        <w:t>WUR’s principles on acting with integrity are anchored within the WUR’s Integrity Code. The Executive Board of WUR considers it self-evident that all persons within WUR who work or study here directly or indirectly – such as employees, PhD candidates (appointed or not appointed) and students – are able to work and study in an inspiring and safe environment.</w:t>
      </w:r>
    </w:p>
    <w:p w14:paraId="3B091CCB" w14:textId="77777777" w:rsidR="009D25DD" w:rsidRPr="00897AC5" w:rsidRDefault="009D25DD" w:rsidP="009D25DD">
      <w:pPr>
        <w:pStyle w:val="Default"/>
        <w:spacing w:line="276" w:lineRule="auto"/>
        <w:rPr>
          <w:sz w:val="18"/>
          <w:szCs w:val="18"/>
          <w:lang w:val="en-US"/>
        </w:rPr>
      </w:pPr>
    </w:p>
    <w:p w14:paraId="16D1B084" w14:textId="1315DE68" w:rsidR="009D25DD" w:rsidRPr="00897AC5" w:rsidRDefault="0034294D" w:rsidP="009D25DD">
      <w:pPr>
        <w:pStyle w:val="Default"/>
        <w:spacing w:line="276" w:lineRule="auto"/>
        <w:rPr>
          <w:rFonts w:eastAsia="Times New Roman" w:cs="Calibri"/>
          <w:sz w:val="18"/>
          <w:szCs w:val="18"/>
          <w:lang w:val="en-US"/>
        </w:rPr>
      </w:pPr>
      <w:r>
        <w:rPr>
          <w:sz w:val="18"/>
          <w:szCs w:val="18"/>
          <w:lang w:val="en-GB"/>
        </w:rPr>
        <w:t xml:space="preserve">In a safe work and study environment, it is possible to speak out if things are not going well and to address problems, </w:t>
      </w:r>
      <w:proofErr w:type="gramStart"/>
      <w:r>
        <w:rPr>
          <w:sz w:val="18"/>
          <w:szCs w:val="18"/>
          <w:lang w:val="en-GB"/>
        </w:rPr>
        <w:t>dilemmas</w:t>
      </w:r>
      <w:proofErr w:type="gramEnd"/>
      <w:r>
        <w:rPr>
          <w:sz w:val="18"/>
          <w:szCs w:val="18"/>
          <w:lang w:val="en-GB"/>
        </w:rPr>
        <w:t xml:space="preserve"> or conflicts in order to find solutions. The primary responsibility for resolving such situations lies with managers, in the broadest sense of the word. For situations in which managers cannot offer solutions, WUR has an extensive support structure in which various actors, such as counsellors, deans, student welfare services, PhD supervisors, company social workers, occupational health and safety services and HR contribute to promoting a safe work and study environment, in the broadest sense of the word. Additionally, various complaints, objections and appeals procedures are in place, which employees and students can use if they have complaints about, for example, their (legal) position or in cases of undesirable conduct. The ombudsperson position is an instrument that contributes to a safer work and study environment, complementing the existing support structure. The ombudsperson works independently, </w:t>
      </w:r>
      <w:proofErr w:type="gramStart"/>
      <w:r>
        <w:rPr>
          <w:sz w:val="18"/>
          <w:szCs w:val="18"/>
          <w:lang w:val="en-GB"/>
        </w:rPr>
        <w:t>impartially</w:t>
      </w:r>
      <w:proofErr w:type="gramEnd"/>
      <w:r>
        <w:rPr>
          <w:sz w:val="18"/>
          <w:szCs w:val="18"/>
          <w:lang w:val="en-GB"/>
        </w:rPr>
        <w:t xml:space="preserve"> and confidentially, and can investigate and give (solicited and unsolicited) advice on structural problems and abuses in the work and study environment.</w:t>
      </w:r>
    </w:p>
    <w:p w14:paraId="5A884038" w14:textId="77777777" w:rsidR="009D25DD" w:rsidRPr="00897AC5" w:rsidRDefault="009D25DD" w:rsidP="009D25DD">
      <w:pPr>
        <w:pStyle w:val="Default"/>
        <w:spacing w:line="276" w:lineRule="auto"/>
        <w:rPr>
          <w:sz w:val="18"/>
          <w:szCs w:val="18"/>
          <w:lang w:val="en-US"/>
        </w:rPr>
      </w:pPr>
    </w:p>
    <w:p w14:paraId="6DB22A3B" w14:textId="0D74E33A" w:rsidR="0060765B" w:rsidRPr="00897AC5" w:rsidRDefault="003D0E81" w:rsidP="0060765B">
      <w:pPr>
        <w:pStyle w:val="Default"/>
        <w:spacing w:line="276" w:lineRule="auto"/>
        <w:rPr>
          <w:lang w:val="en-US"/>
        </w:rPr>
      </w:pPr>
      <w:r>
        <w:rPr>
          <w:sz w:val="18"/>
          <w:szCs w:val="18"/>
          <w:lang w:val="en-GB"/>
        </w:rPr>
        <w:t xml:space="preserve">For employees and students, the purpose of the ombudsperson is to identify and offer advice on major trends relating to social safety from an independent and authoritative position. The ombudsperson deals with individual </w:t>
      </w:r>
      <w:proofErr w:type="gramStart"/>
      <w:r>
        <w:rPr>
          <w:sz w:val="18"/>
          <w:szCs w:val="18"/>
          <w:lang w:val="en-GB"/>
        </w:rPr>
        <w:t>cases, but</w:t>
      </w:r>
      <w:proofErr w:type="gramEnd"/>
      <w:r>
        <w:rPr>
          <w:sz w:val="18"/>
          <w:szCs w:val="18"/>
          <w:lang w:val="en-GB"/>
        </w:rPr>
        <w:t xml:space="preserve"> does not deal with issues relating to legal affairs, issues that have already been dealt with and cases that have been explicitly assigned to specific committees. </w:t>
      </w:r>
    </w:p>
    <w:p w14:paraId="3CEA62E3" w14:textId="5AAECD06" w:rsidR="0060765B" w:rsidRPr="00897AC5" w:rsidRDefault="0060765B" w:rsidP="0060765B">
      <w:pPr>
        <w:pStyle w:val="Default"/>
        <w:rPr>
          <w:sz w:val="18"/>
          <w:szCs w:val="18"/>
          <w:lang w:val="en-US"/>
        </w:rPr>
      </w:pPr>
    </w:p>
    <w:p w14:paraId="759B96F5" w14:textId="67B6319B" w:rsidR="003D0E81" w:rsidRPr="00897AC5" w:rsidRDefault="0060765B" w:rsidP="001661B4">
      <w:pPr>
        <w:pStyle w:val="Default"/>
        <w:spacing w:line="276" w:lineRule="auto"/>
        <w:rPr>
          <w:sz w:val="18"/>
          <w:szCs w:val="18"/>
          <w:lang w:val="en-US"/>
        </w:rPr>
      </w:pPr>
      <w:r>
        <w:rPr>
          <w:sz w:val="18"/>
          <w:szCs w:val="18"/>
          <w:lang w:val="en-GB"/>
        </w:rPr>
        <w:t xml:space="preserve">The introduction of the ombudsperson is intended to create an easily accessible facility for (groups of) employees and students for problems that arise during work or study and that may lead to questions, </w:t>
      </w:r>
      <w:proofErr w:type="gramStart"/>
      <w:r>
        <w:rPr>
          <w:sz w:val="18"/>
          <w:szCs w:val="18"/>
          <w:lang w:val="en-GB"/>
        </w:rPr>
        <w:t>dilemmas</w:t>
      </w:r>
      <w:proofErr w:type="gramEnd"/>
      <w:r>
        <w:rPr>
          <w:sz w:val="18"/>
          <w:szCs w:val="18"/>
          <w:lang w:val="en-GB"/>
        </w:rPr>
        <w:t xml:space="preserve"> or conflicts, to provide appropriate opportunities for independent and impartial advice, mediation or referral within the support structure or investigation. It concerns situations in which employees or students believe that they have been treated – in their eyes – incorrectly or unfairly by persons or bodies of Wageningen University &amp; Research.</w:t>
      </w:r>
    </w:p>
    <w:p w14:paraId="790A6878" w14:textId="77777777" w:rsidR="003D0E81" w:rsidRPr="00897AC5" w:rsidRDefault="003D0E81" w:rsidP="001661B4">
      <w:pPr>
        <w:pStyle w:val="Default"/>
        <w:spacing w:line="276" w:lineRule="auto"/>
        <w:rPr>
          <w:sz w:val="18"/>
          <w:szCs w:val="18"/>
          <w:lang w:val="en-US"/>
        </w:rPr>
      </w:pPr>
    </w:p>
    <w:p w14:paraId="707BC50C" w14:textId="5762F3F4" w:rsidR="000A27AD" w:rsidRPr="00897AC5" w:rsidRDefault="00F74D39" w:rsidP="00A66B40">
      <w:pPr>
        <w:pStyle w:val="Default"/>
        <w:spacing w:line="276" w:lineRule="auto"/>
        <w:rPr>
          <w:sz w:val="18"/>
          <w:szCs w:val="18"/>
          <w:lang w:val="en-US"/>
        </w:rPr>
      </w:pPr>
      <w:r>
        <w:rPr>
          <w:sz w:val="18"/>
          <w:szCs w:val="18"/>
          <w:lang w:val="en-GB"/>
        </w:rPr>
        <w:t xml:space="preserve">The ombudsperson can support (groups of) employees and students in analysing and solving questions, dilemmas or conflicts related to work or study, </w:t>
      </w:r>
      <w:proofErr w:type="gramStart"/>
      <w:r>
        <w:rPr>
          <w:sz w:val="18"/>
          <w:szCs w:val="18"/>
          <w:lang w:val="en-GB"/>
        </w:rPr>
        <w:t>at the moment</w:t>
      </w:r>
      <w:proofErr w:type="gramEnd"/>
      <w:r>
        <w:rPr>
          <w:sz w:val="18"/>
          <w:szCs w:val="18"/>
          <w:lang w:val="en-GB"/>
        </w:rPr>
        <w:t xml:space="preserve"> that no solutions can be agreed upon between them and the existing support structure. The ombudsperson is not an additional body to the existing complaints, objections and appeals mechanisms, or a replacement for the actors who focus on individual cases, but the ombudsperson is an independent party who can act as intermediaries between parties and expose ineffective patterns in the culture of (parts of) the organisation, </w:t>
      </w:r>
      <w:proofErr w:type="gramStart"/>
      <w:r>
        <w:rPr>
          <w:sz w:val="18"/>
          <w:szCs w:val="18"/>
          <w:lang w:val="en-GB"/>
        </w:rPr>
        <w:t>with regard to</w:t>
      </w:r>
      <w:proofErr w:type="gramEnd"/>
      <w:r>
        <w:rPr>
          <w:sz w:val="18"/>
          <w:szCs w:val="18"/>
          <w:lang w:val="en-GB"/>
        </w:rPr>
        <w:t xml:space="preserve"> social safety. The intermediary role of the ombudsperson means that they can act as an independent counsellor with the aim of clarifying problems or mediating in one or two conversations to get the parties talking again. The ombudsperson can, if appropriate, also point out the possibility of mediation and make referrals.</w:t>
      </w:r>
    </w:p>
    <w:p w14:paraId="237BAC27" w14:textId="77777777" w:rsidR="00A66B40" w:rsidRPr="00897AC5" w:rsidRDefault="00A66B40" w:rsidP="00A66B40">
      <w:pPr>
        <w:pStyle w:val="Default"/>
        <w:spacing w:line="276" w:lineRule="auto"/>
        <w:rPr>
          <w:sz w:val="18"/>
          <w:szCs w:val="18"/>
          <w:lang w:val="en-US"/>
        </w:rPr>
      </w:pPr>
    </w:p>
    <w:p w14:paraId="7A169FE4" w14:textId="5DE378A5" w:rsidR="00E33CAE" w:rsidRPr="00897AC5" w:rsidRDefault="00BD33A4" w:rsidP="001661B4">
      <w:pPr>
        <w:pStyle w:val="Default"/>
        <w:spacing w:line="276" w:lineRule="auto"/>
        <w:rPr>
          <w:sz w:val="18"/>
          <w:szCs w:val="18"/>
          <w:lang w:val="en-US"/>
        </w:rPr>
      </w:pPr>
      <w:proofErr w:type="gramStart"/>
      <w:r>
        <w:rPr>
          <w:sz w:val="18"/>
          <w:szCs w:val="18"/>
          <w:lang w:val="en-GB"/>
        </w:rPr>
        <w:t>In order to</w:t>
      </w:r>
      <w:proofErr w:type="gramEnd"/>
      <w:r>
        <w:rPr>
          <w:sz w:val="18"/>
          <w:szCs w:val="18"/>
          <w:lang w:val="en-GB"/>
        </w:rPr>
        <w:t xml:space="preserve"> fulfil this role, the ombudsperson has the authority to obtain information and conduct investigations (or have them conducted) and to offer advice based on this. The ombudsperson can also act as an intermediary before issues become unmanageable. The ombudsperson can also make referrals to the appropriate bodies within the support structure and point out or offer advice on the correct procedure. As a rule, the referral will be to the actors in the support structure designated for individual cases, or to the existing complaints, </w:t>
      </w:r>
      <w:proofErr w:type="gramStart"/>
      <w:r>
        <w:rPr>
          <w:sz w:val="18"/>
          <w:szCs w:val="18"/>
          <w:lang w:val="en-GB"/>
        </w:rPr>
        <w:t>objections</w:t>
      </w:r>
      <w:proofErr w:type="gramEnd"/>
      <w:r>
        <w:rPr>
          <w:sz w:val="18"/>
          <w:szCs w:val="18"/>
          <w:lang w:val="en-GB"/>
        </w:rPr>
        <w:t xml:space="preserve"> and appeals committees. The ombudsperson does not take over the role or position of existing actors or committees in the support structure, but they can, if several reports are made about a certain situation, decide to start investigations at their own initiative. </w:t>
      </w:r>
    </w:p>
    <w:p w14:paraId="2BA3BB87" w14:textId="435DFA37" w:rsidR="008072D6" w:rsidRPr="00897AC5" w:rsidRDefault="008072D6" w:rsidP="001661B4">
      <w:pPr>
        <w:pStyle w:val="Default"/>
        <w:spacing w:line="276" w:lineRule="auto"/>
        <w:rPr>
          <w:sz w:val="18"/>
          <w:szCs w:val="18"/>
          <w:lang w:val="en-US"/>
        </w:rPr>
      </w:pPr>
    </w:p>
    <w:p w14:paraId="7CC8C655" w14:textId="227C6B5C" w:rsidR="00F30FC4" w:rsidRPr="00897AC5" w:rsidRDefault="008072D6" w:rsidP="001661B4">
      <w:pPr>
        <w:pStyle w:val="Default"/>
        <w:spacing w:line="276" w:lineRule="auto"/>
        <w:rPr>
          <w:sz w:val="18"/>
          <w:szCs w:val="18"/>
          <w:lang w:val="en-US"/>
        </w:rPr>
      </w:pPr>
      <w:r>
        <w:rPr>
          <w:sz w:val="18"/>
          <w:szCs w:val="18"/>
          <w:lang w:val="en-GB"/>
        </w:rPr>
        <w:t>The ombudsperson does not act as an arbitrator or the primary advocate of any party. The ombudsperson can be contacted for questions, dilemmas or conflicts relating to work and study, without formalities. The ombudsperson always aims to discover means for resolving issues. If there is an investigation, the ombudsperson draws up a report, which may or may not include recommendations. The ombudsperson cannot make binding decisions.</w:t>
      </w:r>
    </w:p>
    <w:p w14:paraId="55A6CBDB" w14:textId="095FDB19" w:rsidR="00F30FC4" w:rsidRPr="00897AC5" w:rsidRDefault="00F30FC4" w:rsidP="001661B4">
      <w:pPr>
        <w:pStyle w:val="Default"/>
        <w:spacing w:line="276" w:lineRule="auto"/>
        <w:rPr>
          <w:sz w:val="18"/>
          <w:szCs w:val="18"/>
          <w:lang w:val="en-US"/>
        </w:rPr>
      </w:pPr>
      <w:r>
        <w:rPr>
          <w:sz w:val="18"/>
          <w:szCs w:val="18"/>
          <w:lang w:val="en-GB"/>
        </w:rPr>
        <w:t>The tasks and competencies of the ombudsperson – including the authoritative and independent position at Wageningen University &amp; Research – are described in these regulations, which are based on the National Framework.</w:t>
      </w:r>
    </w:p>
    <w:p w14:paraId="67188DD7" w14:textId="7AE7678C" w:rsidR="00F30FC4" w:rsidRPr="00897AC5" w:rsidRDefault="00F30FC4" w:rsidP="001661B4">
      <w:pPr>
        <w:pStyle w:val="Default"/>
        <w:spacing w:line="276" w:lineRule="auto"/>
        <w:rPr>
          <w:sz w:val="18"/>
          <w:szCs w:val="18"/>
          <w:lang w:val="en-US"/>
        </w:rPr>
      </w:pPr>
    </w:p>
    <w:p w14:paraId="5527CDD6" w14:textId="77777777" w:rsidR="00E21DDE" w:rsidRPr="00897AC5" w:rsidRDefault="00E21DDE" w:rsidP="001661B4">
      <w:pPr>
        <w:spacing w:line="276" w:lineRule="auto"/>
        <w:rPr>
          <w:rFonts w:ascii="Verdana" w:hAnsi="Verdana" w:cs="Arial"/>
          <w:color w:val="000000"/>
          <w:sz w:val="18"/>
          <w:szCs w:val="18"/>
          <w:lang w:val="en-US"/>
        </w:rPr>
      </w:pPr>
      <w:r>
        <w:rPr>
          <w:rFonts w:ascii="Verdana" w:hAnsi="Verdana" w:cs="Arial"/>
          <w:color w:val="000000"/>
          <w:sz w:val="18"/>
          <w:szCs w:val="18"/>
          <w:lang w:val="en-GB"/>
        </w:rPr>
        <w:br w:type="page"/>
      </w:r>
    </w:p>
    <w:p w14:paraId="4E546026" w14:textId="1C1010ED" w:rsidR="00DD3E75" w:rsidRPr="00897AC5" w:rsidRDefault="008063D3" w:rsidP="00825D3C">
      <w:pPr>
        <w:pStyle w:val="Kop1"/>
        <w:rPr>
          <w:rFonts w:ascii="Verdana" w:hAnsi="Verdana"/>
          <w:sz w:val="24"/>
          <w:szCs w:val="24"/>
          <w:lang w:val="en-US"/>
        </w:rPr>
      </w:pPr>
      <w:bookmarkStart w:id="1" w:name="_Toc82534033"/>
      <w:r>
        <w:rPr>
          <w:rFonts w:ascii="Verdana" w:hAnsi="Verdana"/>
          <w:sz w:val="24"/>
          <w:szCs w:val="24"/>
          <w:lang w:val="en-GB"/>
        </w:rPr>
        <w:lastRenderedPageBreak/>
        <w:t>Article 1 – Definitions</w:t>
      </w:r>
      <w:bookmarkEnd w:id="1"/>
    </w:p>
    <w:p w14:paraId="4A03B53D" w14:textId="77777777" w:rsidR="008063D3" w:rsidRPr="00897AC5" w:rsidRDefault="008063D3" w:rsidP="001661B4">
      <w:pPr>
        <w:autoSpaceDE w:val="0"/>
        <w:autoSpaceDN w:val="0"/>
        <w:adjustRightInd w:val="0"/>
        <w:spacing w:line="276" w:lineRule="auto"/>
        <w:rPr>
          <w:rFonts w:ascii="Verdana" w:hAnsi="Verdana" w:cs="Arial"/>
          <w:color w:val="000000"/>
          <w:sz w:val="18"/>
          <w:szCs w:val="18"/>
          <w:lang w:val="en-US"/>
        </w:rPr>
      </w:pPr>
      <w:proofErr w:type="gramStart"/>
      <w:r>
        <w:rPr>
          <w:rFonts w:ascii="Verdana" w:hAnsi="Verdana" w:cs="Arial"/>
          <w:color w:val="000000"/>
          <w:sz w:val="18"/>
          <w:szCs w:val="18"/>
          <w:lang w:val="en-GB"/>
        </w:rPr>
        <w:t>For the purpose of</w:t>
      </w:r>
      <w:proofErr w:type="gramEnd"/>
      <w:r>
        <w:rPr>
          <w:rFonts w:ascii="Verdana" w:hAnsi="Verdana" w:cs="Arial"/>
          <w:color w:val="000000"/>
          <w:sz w:val="18"/>
          <w:szCs w:val="18"/>
          <w:lang w:val="en-GB"/>
        </w:rPr>
        <w:t xml:space="preserve"> these regulations, the following definitions apply: </w:t>
      </w:r>
    </w:p>
    <w:p w14:paraId="10368EC1" w14:textId="77777777" w:rsidR="00F30FC4" w:rsidRPr="00897AC5" w:rsidRDefault="00F30FC4" w:rsidP="001661B4">
      <w:pPr>
        <w:pStyle w:val="Lijstalinea"/>
        <w:numPr>
          <w:ilvl w:val="0"/>
          <w:numId w:val="1"/>
        </w:numPr>
        <w:autoSpaceDE w:val="0"/>
        <w:autoSpaceDN w:val="0"/>
        <w:adjustRightInd w:val="0"/>
        <w:spacing w:line="276" w:lineRule="auto"/>
        <w:ind w:left="426" w:hanging="426"/>
        <w:rPr>
          <w:rFonts w:ascii="Verdana" w:hAnsi="Verdana" w:cs="Arial"/>
          <w:i/>
          <w:iCs/>
          <w:color w:val="000000"/>
          <w:sz w:val="18"/>
          <w:szCs w:val="18"/>
          <w:lang w:val="en-US"/>
        </w:rPr>
      </w:pPr>
      <w:r>
        <w:rPr>
          <w:rFonts w:ascii="Verdana" w:hAnsi="Verdana" w:cs="Arial"/>
          <w:i/>
          <w:iCs/>
          <w:color w:val="000000"/>
          <w:sz w:val="18"/>
          <w:szCs w:val="18"/>
          <w:lang w:val="en-GB"/>
        </w:rPr>
        <w:t xml:space="preserve">Organisation: </w:t>
      </w:r>
      <w:r>
        <w:rPr>
          <w:rFonts w:ascii="Verdana" w:hAnsi="Verdana" w:cs="Arial"/>
          <w:color w:val="000000"/>
          <w:sz w:val="18"/>
          <w:szCs w:val="18"/>
          <w:lang w:val="en-GB"/>
        </w:rPr>
        <w:t xml:space="preserve">Wageningen University &amp; Research, </w:t>
      </w:r>
      <w:proofErr w:type="gramStart"/>
      <w:r>
        <w:rPr>
          <w:rFonts w:ascii="Verdana" w:hAnsi="Verdana" w:cs="Arial"/>
          <w:color w:val="000000"/>
          <w:sz w:val="18"/>
          <w:szCs w:val="18"/>
          <w:lang w:val="en-GB"/>
        </w:rPr>
        <w:t>i.e.</w:t>
      </w:r>
      <w:proofErr w:type="gramEnd"/>
      <w:r>
        <w:rPr>
          <w:rFonts w:ascii="Verdana" w:hAnsi="Verdana" w:cs="Arial"/>
          <w:color w:val="000000"/>
          <w:sz w:val="18"/>
          <w:szCs w:val="18"/>
          <w:lang w:val="en-GB"/>
        </w:rPr>
        <w:t xml:space="preserve"> Wageningen University and Wageningen Research (Foundation and operational subsidiaries), ‘WUR’.</w:t>
      </w:r>
    </w:p>
    <w:p w14:paraId="57B5765A" w14:textId="77777777" w:rsidR="00F30FC4" w:rsidRPr="00897AC5" w:rsidRDefault="00F30FC4" w:rsidP="001661B4">
      <w:pPr>
        <w:pStyle w:val="Lijstalinea"/>
        <w:numPr>
          <w:ilvl w:val="0"/>
          <w:numId w:val="1"/>
        </w:numPr>
        <w:autoSpaceDE w:val="0"/>
        <w:autoSpaceDN w:val="0"/>
        <w:adjustRightInd w:val="0"/>
        <w:spacing w:line="276" w:lineRule="auto"/>
        <w:ind w:left="426" w:hanging="426"/>
        <w:rPr>
          <w:rFonts w:ascii="Verdana" w:hAnsi="Verdana" w:cs="Arial"/>
          <w:i/>
          <w:iCs/>
          <w:color w:val="000000"/>
          <w:sz w:val="18"/>
          <w:szCs w:val="18"/>
          <w:lang w:val="en-US"/>
        </w:rPr>
      </w:pPr>
      <w:r>
        <w:rPr>
          <w:rFonts w:ascii="Verdana" w:hAnsi="Verdana" w:cs="Arial"/>
          <w:i/>
          <w:iCs/>
          <w:color w:val="000000"/>
          <w:sz w:val="18"/>
          <w:szCs w:val="18"/>
          <w:lang w:val="en-GB"/>
        </w:rPr>
        <w:t xml:space="preserve">Executive Board </w:t>
      </w:r>
      <w:r>
        <w:rPr>
          <w:rFonts w:ascii="Verdana" w:hAnsi="Verdana" w:cs="Arial"/>
          <w:color w:val="000000"/>
          <w:sz w:val="18"/>
          <w:szCs w:val="18"/>
          <w:lang w:val="en-GB"/>
        </w:rPr>
        <w:t>Executive Board of Wageningen University and Executive Board of the Wageningen Research Foundation.</w:t>
      </w:r>
    </w:p>
    <w:p w14:paraId="4E86B9E4" w14:textId="1C692144" w:rsidR="00F30FC4" w:rsidRPr="00897AC5" w:rsidRDefault="00F30FC4" w:rsidP="001661B4">
      <w:pPr>
        <w:pStyle w:val="Lijstalinea"/>
        <w:numPr>
          <w:ilvl w:val="0"/>
          <w:numId w:val="1"/>
        </w:numPr>
        <w:autoSpaceDE w:val="0"/>
        <w:autoSpaceDN w:val="0"/>
        <w:adjustRightInd w:val="0"/>
        <w:spacing w:line="276" w:lineRule="auto"/>
        <w:ind w:left="426" w:hanging="426"/>
        <w:rPr>
          <w:rFonts w:ascii="Verdana" w:hAnsi="Verdana" w:cs="Arial"/>
          <w:i/>
          <w:iCs/>
          <w:color w:val="000000"/>
          <w:sz w:val="18"/>
          <w:szCs w:val="18"/>
          <w:lang w:val="en-US"/>
        </w:rPr>
      </w:pPr>
      <w:r>
        <w:rPr>
          <w:rFonts w:ascii="Verdana" w:hAnsi="Verdana" w:cs="Arial"/>
          <w:i/>
          <w:iCs/>
          <w:color w:val="000000"/>
          <w:sz w:val="18"/>
          <w:szCs w:val="18"/>
          <w:lang w:val="en-GB"/>
        </w:rPr>
        <w:t xml:space="preserve">Employee(s), PhD student(s) and student(s) etc.: </w:t>
      </w:r>
    </w:p>
    <w:p w14:paraId="52EC841B" w14:textId="77777777" w:rsidR="00F30FC4" w:rsidRPr="00897AC5" w:rsidRDefault="00F30FC4" w:rsidP="001661B4">
      <w:pPr>
        <w:pStyle w:val="Lijstalinea"/>
        <w:numPr>
          <w:ilvl w:val="0"/>
          <w:numId w:val="22"/>
        </w:numPr>
        <w:autoSpaceDE w:val="0"/>
        <w:autoSpaceDN w:val="0"/>
        <w:adjustRightInd w:val="0"/>
        <w:spacing w:line="276" w:lineRule="auto"/>
        <w:rPr>
          <w:rFonts w:ascii="Verdana" w:hAnsi="Verdana" w:cs="Arial"/>
          <w:color w:val="000000"/>
          <w:sz w:val="18"/>
          <w:szCs w:val="18"/>
          <w:lang w:val="en-US"/>
        </w:rPr>
      </w:pPr>
      <w:r>
        <w:rPr>
          <w:rFonts w:ascii="Verdana" w:hAnsi="Verdana" w:cs="Arial"/>
          <w:color w:val="000000"/>
          <w:sz w:val="18"/>
          <w:szCs w:val="18"/>
          <w:lang w:val="en-GB"/>
        </w:rPr>
        <w:t>Employees are defined as all persons who, with or without employment contracts, perform work within the organisation.</w:t>
      </w:r>
    </w:p>
    <w:p w14:paraId="7B425AD9" w14:textId="77777777" w:rsidR="00F30FC4" w:rsidRPr="00897AC5" w:rsidRDefault="00F30FC4" w:rsidP="001661B4">
      <w:pPr>
        <w:pStyle w:val="Lijstalinea"/>
        <w:numPr>
          <w:ilvl w:val="0"/>
          <w:numId w:val="22"/>
        </w:numPr>
        <w:autoSpaceDE w:val="0"/>
        <w:autoSpaceDN w:val="0"/>
        <w:adjustRightInd w:val="0"/>
        <w:spacing w:line="276" w:lineRule="auto"/>
        <w:rPr>
          <w:rFonts w:ascii="Verdana" w:hAnsi="Verdana" w:cs="Arial"/>
          <w:color w:val="000000"/>
          <w:sz w:val="18"/>
          <w:szCs w:val="18"/>
          <w:lang w:val="en-US"/>
        </w:rPr>
      </w:pPr>
      <w:r>
        <w:rPr>
          <w:rFonts w:ascii="Verdana" w:hAnsi="Verdana" w:cs="Arial"/>
          <w:color w:val="000000"/>
          <w:sz w:val="18"/>
          <w:szCs w:val="18"/>
          <w:lang w:val="en-GB"/>
        </w:rPr>
        <w:t xml:space="preserve">PhD candidates are defined as all PhD candidates with or without employment contracts in the organisation. </w:t>
      </w:r>
    </w:p>
    <w:p w14:paraId="282568D4" w14:textId="22B783CB" w:rsidR="00F30FC4" w:rsidRPr="00897AC5" w:rsidRDefault="00F30FC4" w:rsidP="001661B4">
      <w:pPr>
        <w:pStyle w:val="Lijstalinea"/>
        <w:numPr>
          <w:ilvl w:val="0"/>
          <w:numId w:val="22"/>
        </w:numPr>
        <w:autoSpaceDE w:val="0"/>
        <w:autoSpaceDN w:val="0"/>
        <w:adjustRightInd w:val="0"/>
        <w:spacing w:line="276" w:lineRule="auto"/>
        <w:rPr>
          <w:rFonts w:ascii="Verdana" w:hAnsi="Verdana" w:cs="Arial"/>
          <w:color w:val="000000"/>
          <w:sz w:val="18"/>
          <w:szCs w:val="18"/>
          <w:lang w:val="en-US"/>
        </w:rPr>
      </w:pPr>
      <w:r>
        <w:rPr>
          <w:rFonts w:ascii="Verdana" w:hAnsi="Verdana" w:cs="Arial"/>
          <w:color w:val="000000"/>
          <w:sz w:val="18"/>
          <w:szCs w:val="18"/>
          <w:lang w:val="en-GB"/>
        </w:rPr>
        <w:t>Students are understood to mean all individuals who follow a study programme at the organisation.</w:t>
      </w:r>
    </w:p>
    <w:p w14:paraId="7547D9CF" w14:textId="69B876BE" w:rsidR="00EF28B3" w:rsidRPr="00897AC5" w:rsidRDefault="00EF28B3" w:rsidP="001661B4">
      <w:pPr>
        <w:pStyle w:val="Lijstalinea"/>
        <w:numPr>
          <w:ilvl w:val="0"/>
          <w:numId w:val="22"/>
        </w:numPr>
        <w:autoSpaceDE w:val="0"/>
        <w:autoSpaceDN w:val="0"/>
        <w:adjustRightInd w:val="0"/>
        <w:spacing w:line="276" w:lineRule="auto"/>
        <w:rPr>
          <w:rFonts w:ascii="Verdana" w:hAnsi="Verdana" w:cs="Arial"/>
          <w:color w:val="000000"/>
          <w:sz w:val="18"/>
          <w:szCs w:val="18"/>
          <w:lang w:val="en-US"/>
        </w:rPr>
      </w:pPr>
      <w:r>
        <w:rPr>
          <w:rFonts w:ascii="Verdana" w:hAnsi="Verdana" w:cs="Arial"/>
          <w:color w:val="000000"/>
          <w:sz w:val="18"/>
          <w:szCs w:val="18"/>
          <w:lang w:val="en-GB"/>
        </w:rPr>
        <w:t>Employees/PhD candidates/students are also understood to mean former employees/PhD candidates/students who have not left the organisation for more than a year at the time they report to the ombudsperson.</w:t>
      </w:r>
    </w:p>
    <w:p w14:paraId="0308604A" w14:textId="77777777" w:rsidR="00F30FC4" w:rsidRPr="00897AC5" w:rsidRDefault="00F30FC4" w:rsidP="001661B4">
      <w:pPr>
        <w:pStyle w:val="Lijstalinea"/>
        <w:numPr>
          <w:ilvl w:val="0"/>
          <w:numId w:val="22"/>
        </w:numPr>
        <w:autoSpaceDE w:val="0"/>
        <w:autoSpaceDN w:val="0"/>
        <w:adjustRightInd w:val="0"/>
        <w:spacing w:line="276" w:lineRule="auto"/>
        <w:rPr>
          <w:rFonts w:ascii="Verdana" w:hAnsi="Verdana" w:cs="Arial"/>
          <w:color w:val="000000"/>
          <w:sz w:val="18"/>
          <w:szCs w:val="18"/>
          <w:lang w:val="en-US"/>
        </w:rPr>
      </w:pPr>
      <w:r>
        <w:rPr>
          <w:rFonts w:ascii="Verdana" w:hAnsi="Verdana" w:cs="Arial"/>
          <w:color w:val="000000"/>
          <w:sz w:val="18"/>
          <w:szCs w:val="18"/>
          <w:lang w:val="en-GB"/>
        </w:rPr>
        <w:t>The term employee/work environment is also used to mean student/study environment.</w:t>
      </w:r>
    </w:p>
    <w:p w14:paraId="4D40CD26" w14:textId="77777777" w:rsidR="00F30FC4" w:rsidRPr="00897AC5" w:rsidRDefault="00F30FC4" w:rsidP="001661B4">
      <w:pPr>
        <w:pStyle w:val="Lijstalinea"/>
        <w:numPr>
          <w:ilvl w:val="0"/>
          <w:numId w:val="22"/>
        </w:numPr>
        <w:autoSpaceDE w:val="0"/>
        <w:autoSpaceDN w:val="0"/>
        <w:adjustRightInd w:val="0"/>
        <w:spacing w:line="276" w:lineRule="auto"/>
        <w:rPr>
          <w:rFonts w:ascii="Verdana" w:hAnsi="Verdana" w:cs="Arial"/>
          <w:color w:val="000000"/>
          <w:sz w:val="18"/>
          <w:szCs w:val="18"/>
          <w:lang w:val="en-US"/>
        </w:rPr>
      </w:pPr>
      <w:r>
        <w:rPr>
          <w:rFonts w:ascii="Verdana" w:hAnsi="Verdana" w:cs="Arial"/>
          <w:color w:val="000000"/>
          <w:sz w:val="18"/>
          <w:szCs w:val="18"/>
          <w:lang w:val="en-GB"/>
        </w:rPr>
        <w:t xml:space="preserve">Wherever reference is made to </w:t>
      </w:r>
      <w:proofErr w:type="spellStart"/>
      <w:r>
        <w:rPr>
          <w:rFonts w:ascii="Verdana" w:hAnsi="Verdana" w:cs="Arial"/>
          <w:color w:val="000000"/>
          <w:sz w:val="18"/>
          <w:szCs w:val="18"/>
          <w:lang w:val="en-GB"/>
        </w:rPr>
        <w:t>he</w:t>
      </w:r>
      <w:proofErr w:type="spellEnd"/>
      <w:r>
        <w:rPr>
          <w:rFonts w:ascii="Verdana" w:hAnsi="Verdana" w:cs="Arial"/>
          <w:color w:val="000000"/>
          <w:sz w:val="18"/>
          <w:szCs w:val="18"/>
          <w:lang w:val="en-GB"/>
        </w:rPr>
        <w:t>/him/his, this shall also be understood to mean she/her.</w:t>
      </w:r>
    </w:p>
    <w:p w14:paraId="04015D92" w14:textId="76124D44" w:rsidR="00F30FC4" w:rsidRPr="00897AC5" w:rsidRDefault="00F30FC4" w:rsidP="001661B4">
      <w:pPr>
        <w:pStyle w:val="Lijstalinea"/>
        <w:numPr>
          <w:ilvl w:val="0"/>
          <w:numId w:val="22"/>
        </w:numPr>
        <w:autoSpaceDE w:val="0"/>
        <w:autoSpaceDN w:val="0"/>
        <w:adjustRightInd w:val="0"/>
        <w:spacing w:line="276" w:lineRule="auto"/>
        <w:rPr>
          <w:rFonts w:ascii="Verdana" w:hAnsi="Verdana" w:cs="Arial"/>
          <w:color w:val="000000"/>
          <w:sz w:val="18"/>
          <w:szCs w:val="18"/>
          <w:lang w:val="en-US"/>
        </w:rPr>
      </w:pPr>
      <w:r>
        <w:rPr>
          <w:rFonts w:ascii="Verdana" w:hAnsi="Verdana"/>
          <w:color w:val="000000"/>
          <w:sz w:val="18"/>
          <w:szCs w:val="18"/>
          <w:lang w:val="en-GB"/>
        </w:rPr>
        <w:t>The term ‘person’ is also used to refer to an</w:t>
      </w:r>
      <w:r>
        <w:rPr>
          <w:rFonts w:ascii="Verdana" w:hAnsi="Verdana"/>
          <w:sz w:val="18"/>
          <w:szCs w:val="18"/>
          <w:lang w:val="en-GB"/>
        </w:rPr>
        <w:t xml:space="preserve"> </w:t>
      </w:r>
      <w:r>
        <w:rPr>
          <w:rFonts w:ascii="Verdana" w:hAnsi="Verdana"/>
          <w:color w:val="000000"/>
          <w:sz w:val="18"/>
          <w:szCs w:val="18"/>
          <w:lang w:val="en-GB"/>
        </w:rPr>
        <w:t>employee/PhD candidate/student.</w:t>
      </w:r>
    </w:p>
    <w:p w14:paraId="3736682D" w14:textId="0A4C0DBB" w:rsidR="009423DB" w:rsidRPr="00897AC5" w:rsidRDefault="008063D3" w:rsidP="001661B4">
      <w:pPr>
        <w:pStyle w:val="Lijstalinea"/>
        <w:numPr>
          <w:ilvl w:val="0"/>
          <w:numId w:val="1"/>
        </w:numPr>
        <w:autoSpaceDE w:val="0"/>
        <w:autoSpaceDN w:val="0"/>
        <w:adjustRightInd w:val="0"/>
        <w:spacing w:line="276" w:lineRule="auto"/>
        <w:ind w:left="426" w:hanging="426"/>
        <w:rPr>
          <w:rFonts w:ascii="Verdana" w:hAnsi="Verdana" w:cs="Arial"/>
          <w:color w:val="000000"/>
          <w:sz w:val="18"/>
          <w:szCs w:val="18"/>
          <w:lang w:val="en-US"/>
        </w:rPr>
      </w:pPr>
      <w:r>
        <w:rPr>
          <w:rFonts w:ascii="Verdana" w:hAnsi="Verdana" w:cs="Arial"/>
          <w:i/>
          <w:iCs/>
          <w:color w:val="000000"/>
          <w:sz w:val="18"/>
          <w:szCs w:val="18"/>
          <w:lang w:val="en-GB"/>
        </w:rPr>
        <w:t>Ombudsperson (m/f)</w:t>
      </w:r>
      <w:r>
        <w:rPr>
          <w:rFonts w:ascii="Verdana" w:hAnsi="Verdana" w:cs="Arial"/>
          <w:color w:val="000000"/>
          <w:sz w:val="18"/>
          <w:szCs w:val="18"/>
          <w:lang w:val="en-GB"/>
        </w:rPr>
        <w:t>: the independent official appointed by the Executive Board, as described in these regulations.</w:t>
      </w:r>
    </w:p>
    <w:p w14:paraId="54C04962" w14:textId="6F9E697B" w:rsidR="009423DB" w:rsidRPr="00897AC5" w:rsidRDefault="008063D3" w:rsidP="001661B4">
      <w:pPr>
        <w:pStyle w:val="Lijstalinea"/>
        <w:numPr>
          <w:ilvl w:val="0"/>
          <w:numId w:val="1"/>
        </w:numPr>
        <w:autoSpaceDE w:val="0"/>
        <w:autoSpaceDN w:val="0"/>
        <w:adjustRightInd w:val="0"/>
        <w:spacing w:line="276" w:lineRule="auto"/>
        <w:ind w:left="426" w:hanging="426"/>
        <w:rPr>
          <w:rFonts w:ascii="Verdana" w:hAnsi="Verdana" w:cs="Arial"/>
          <w:color w:val="000000"/>
          <w:sz w:val="18"/>
          <w:szCs w:val="18"/>
          <w:lang w:val="en-US"/>
        </w:rPr>
      </w:pPr>
      <w:r>
        <w:rPr>
          <w:rFonts w:ascii="Verdana" w:hAnsi="Verdana" w:cs="Arial"/>
          <w:i/>
          <w:iCs/>
          <w:color w:val="000000"/>
          <w:sz w:val="18"/>
          <w:szCs w:val="18"/>
          <w:lang w:val="en-GB"/>
        </w:rPr>
        <w:t>Report</w:t>
      </w:r>
      <w:r>
        <w:rPr>
          <w:rFonts w:ascii="Verdana" w:hAnsi="Verdana" w:cs="Arial"/>
          <w:color w:val="000000"/>
          <w:sz w:val="18"/>
          <w:szCs w:val="18"/>
          <w:lang w:val="en-GB"/>
        </w:rPr>
        <w:t xml:space="preserve">: a report on behaviour in the field of social safety and/or undesirable conduct. In this context, conduct is taken to mean both an act and neglect. A report may relate to an organisational component, a department, a </w:t>
      </w:r>
      <w:proofErr w:type="gramStart"/>
      <w:r>
        <w:rPr>
          <w:rFonts w:ascii="Verdana" w:hAnsi="Verdana" w:cs="Arial"/>
          <w:color w:val="000000"/>
          <w:sz w:val="18"/>
          <w:szCs w:val="18"/>
          <w:lang w:val="en-GB"/>
        </w:rPr>
        <w:t>person</w:t>
      </w:r>
      <w:proofErr w:type="gramEnd"/>
      <w:r>
        <w:rPr>
          <w:rFonts w:ascii="Verdana" w:hAnsi="Verdana" w:cs="Arial"/>
          <w:color w:val="000000"/>
          <w:sz w:val="18"/>
          <w:szCs w:val="18"/>
          <w:lang w:val="en-GB"/>
        </w:rPr>
        <w:t xml:space="preserve"> or a group of persons.</w:t>
      </w:r>
    </w:p>
    <w:p w14:paraId="724850E3" w14:textId="77777777" w:rsidR="009423DB" w:rsidRPr="00897AC5" w:rsidRDefault="009423DB" w:rsidP="001661B4">
      <w:pPr>
        <w:pStyle w:val="Lijstalinea"/>
        <w:autoSpaceDE w:val="0"/>
        <w:autoSpaceDN w:val="0"/>
        <w:adjustRightInd w:val="0"/>
        <w:spacing w:line="276" w:lineRule="auto"/>
        <w:ind w:left="426"/>
        <w:rPr>
          <w:rFonts w:ascii="Verdana" w:hAnsi="Verdana" w:cs="Arial"/>
          <w:color w:val="000000"/>
          <w:sz w:val="18"/>
          <w:szCs w:val="18"/>
          <w:lang w:val="en-US"/>
        </w:rPr>
      </w:pPr>
    </w:p>
    <w:p w14:paraId="6780104D" w14:textId="2F091AC4" w:rsidR="008063D3" w:rsidRPr="00825D3C" w:rsidRDefault="008063D3" w:rsidP="00825D3C">
      <w:pPr>
        <w:pStyle w:val="Kop1"/>
        <w:rPr>
          <w:rFonts w:ascii="Verdana" w:hAnsi="Verdana"/>
          <w:sz w:val="24"/>
          <w:szCs w:val="24"/>
        </w:rPr>
      </w:pPr>
      <w:bookmarkStart w:id="2" w:name="_Toc82534034"/>
      <w:r>
        <w:rPr>
          <w:rFonts w:ascii="Verdana" w:hAnsi="Verdana"/>
          <w:sz w:val="24"/>
          <w:szCs w:val="24"/>
          <w:lang w:val="en-GB"/>
        </w:rPr>
        <w:t>Article 2 – Ombudsperson</w:t>
      </w:r>
      <w:bookmarkEnd w:id="2"/>
      <w:r>
        <w:rPr>
          <w:rFonts w:ascii="Verdana" w:hAnsi="Verdana"/>
          <w:sz w:val="24"/>
          <w:szCs w:val="24"/>
          <w:lang w:val="en-GB"/>
        </w:rPr>
        <w:t xml:space="preserve"> </w:t>
      </w:r>
    </w:p>
    <w:p w14:paraId="12147988" w14:textId="7F580B64" w:rsidR="00161618" w:rsidRPr="00897AC5" w:rsidRDefault="008063D3" w:rsidP="00161618">
      <w:pPr>
        <w:pStyle w:val="Lijstalinea"/>
        <w:numPr>
          <w:ilvl w:val="0"/>
          <w:numId w:val="3"/>
        </w:numPr>
        <w:autoSpaceDE w:val="0"/>
        <w:autoSpaceDN w:val="0"/>
        <w:adjustRightInd w:val="0"/>
        <w:spacing w:line="276" w:lineRule="auto"/>
        <w:ind w:left="426" w:hanging="426"/>
        <w:rPr>
          <w:rFonts w:ascii="Verdana" w:hAnsi="Verdana" w:cs="Arial"/>
          <w:color w:val="000000"/>
          <w:sz w:val="18"/>
          <w:szCs w:val="18"/>
          <w:lang w:val="en-US"/>
        </w:rPr>
      </w:pPr>
      <w:r>
        <w:rPr>
          <w:rFonts w:ascii="Verdana" w:hAnsi="Verdana" w:cs="Arial"/>
          <w:color w:val="000000"/>
          <w:sz w:val="18"/>
          <w:szCs w:val="18"/>
          <w:lang w:val="en-GB"/>
        </w:rPr>
        <w:t xml:space="preserve">Wageningen University &amp; Research has an ombudsperson for its staff and students. </w:t>
      </w:r>
    </w:p>
    <w:p w14:paraId="6DA817D4" w14:textId="77777777" w:rsidR="008063D3" w:rsidRPr="00897AC5" w:rsidRDefault="008063D3" w:rsidP="001661B4">
      <w:pPr>
        <w:pStyle w:val="Lijstalinea"/>
        <w:autoSpaceDE w:val="0"/>
        <w:autoSpaceDN w:val="0"/>
        <w:adjustRightInd w:val="0"/>
        <w:spacing w:line="276" w:lineRule="auto"/>
        <w:ind w:left="426"/>
        <w:rPr>
          <w:rFonts w:ascii="Verdana" w:hAnsi="Verdana" w:cs="Arial"/>
          <w:color w:val="000000"/>
          <w:sz w:val="18"/>
          <w:szCs w:val="18"/>
          <w:lang w:val="en-US"/>
        </w:rPr>
      </w:pPr>
    </w:p>
    <w:p w14:paraId="3E8F38E2" w14:textId="22031668" w:rsidR="008063D3" w:rsidRPr="001F4A0E" w:rsidRDefault="008063D3" w:rsidP="001661B4">
      <w:pPr>
        <w:pStyle w:val="Lijstalinea"/>
        <w:numPr>
          <w:ilvl w:val="0"/>
          <w:numId w:val="3"/>
        </w:numPr>
        <w:autoSpaceDE w:val="0"/>
        <w:autoSpaceDN w:val="0"/>
        <w:adjustRightInd w:val="0"/>
        <w:spacing w:line="276" w:lineRule="auto"/>
        <w:ind w:left="426" w:hanging="426"/>
        <w:rPr>
          <w:rFonts w:ascii="Verdana" w:hAnsi="Verdana" w:cs="Arial"/>
          <w:color w:val="000000"/>
          <w:sz w:val="18"/>
          <w:szCs w:val="18"/>
          <w:lang w:val="en-US"/>
        </w:rPr>
      </w:pPr>
      <w:r>
        <w:rPr>
          <w:rFonts w:ascii="Verdana" w:hAnsi="Verdana" w:cs="Arial"/>
          <w:color w:val="000000"/>
          <w:sz w:val="18"/>
          <w:szCs w:val="18"/>
          <w:lang w:val="en-GB"/>
        </w:rPr>
        <w:t xml:space="preserve">The ombudsperson is appointed by the Executive Board for a period of 2 years. The appointment may be renewed once for a further period of 2 years. </w:t>
      </w:r>
    </w:p>
    <w:p w14:paraId="105B786E" w14:textId="77777777" w:rsidR="001F4A0E" w:rsidRPr="001F4A0E" w:rsidRDefault="001F4A0E" w:rsidP="001F4A0E">
      <w:pPr>
        <w:pStyle w:val="Lijstalinea"/>
        <w:rPr>
          <w:rFonts w:ascii="Verdana" w:hAnsi="Verdana" w:cs="Arial"/>
          <w:color w:val="000000"/>
          <w:sz w:val="18"/>
          <w:szCs w:val="18"/>
          <w:lang w:val="en-US"/>
        </w:rPr>
      </w:pPr>
    </w:p>
    <w:p w14:paraId="6B7F5E8F" w14:textId="2562F409" w:rsidR="001F4A0E" w:rsidRPr="00897AC5" w:rsidRDefault="001F4A0E" w:rsidP="001661B4">
      <w:pPr>
        <w:pStyle w:val="Lijstalinea"/>
        <w:numPr>
          <w:ilvl w:val="0"/>
          <w:numId w:val="3"/>
        </w:numPr>
        <w:autoSpaceDE w:val="0"/>
        <w:autoSpaceDN w:val="0"/>
        <w:adjustRightInd w:val="0"/>
        <w:spacing w:line="276" w:lineRule="auto"/>
        <w:ind w:left="426" w:hanging="426"/>
        <w:rPr>
          <w:rFonts w:ascii="Verdana" w:hAnsi="Verdana" w:cs="Arial"/>
          <w:color w:val="000000"/>
          <w:sz w:val="18"/>
          <w:szCs w:val="18"/>
          <w:lang w:val="en-US"/>
        </w:rPr>
      </w:pPr>
      <w:r w:rsidRPr="001F4A0E">
        <w:rPr>
          <w:rFonts w:ascii="Verdana" w:hAnsi="Verdana" w:cs="Arial"/>
          <w:color w:val="000000"/>
          <w:sz w:val="18"/>
          <w:szCs w:val="18"/>
          <w:lang w:val="en-US"/>
        </w:rPr>
        <w:t xml:space="preserve">Prior to the appointment of the ombudsperson, the </w:t>
      </w:r>
      <w:r>
        <w:rPr>
          <w:rFonts w:ascii="Verdana" w:hAnsi="Verdana" w:cs="Museo Sans 100"/>
          <w:color w:val="000000"/>
          <w:sz w:val="18"/>
          <w:szCs w:val="18"/>
          <w:lang w:val="en-GB"/>
        </w:rPr>
        <w:t xml:space="preserve">Local Participation and the </w:t>
      </w:r>
      <w:proofErr w:type="spellStart"/>
      <w:r>
        <w:rPr>
          <w:rFonts w:ascii="Verdana" w:hAnsi="Verdana" w:cs="Museo Sans 100"/>
          <w:color w:val="000000"/>
          <w:sz w:val="18"/>
          <w:szCs w:val="18"/>
          <w:lang w:val="en-GB"/>
        </w:rPr>
        <w:t>participational</w:t>
      </w:r>
      <w:proofErr w:type="spellEnd"/>
      <w:r>
        <w:rPr>
          <w:rFonts w:ascii="Verdana" w:hAnsi="Verdana" w:cs="Museo Sans 100"/>
          <w:color w:val="000000"/>
          <w:sz w:val="18"/>
          <w:szCs w:val="18"/>
          <w:lang w:val="en-GB"/>
        </w:rPr>
        <w:t xml:space="preserve"> structure</w:t>
      </w:r>
      <w:r w:rsidRPr="001F4A0E">
        <w:rPr>
          <w:rFonts w:ascii="Verdana" w:hAnsi="Verdana" w:cs="Arial"/>
          <w:color w:val="000000"/>
          <w:sz w:val="18"/>
          <w:szCs w:val="18"/>
          <w:lang w:val="en-US"/>
        </w:rPr>
        <w:t xml:space="preserve"> are given the opportunity to meet the intended candidate for the position and to advise the </w:t>
      </w:r>
      <w:r>
        <w:rPr>
          <w:rFonts w:ascii="Verdana" w:hAnsi="Verdana" w:cs="Arial"/>
          <w:color w:val="000000"/>
          <w:sz w:val="18"/>
          <w:szCs w:val="18"/>
          <w:lang w:val="en-US"/>
        </w:rPr>
        <w:t>Executive Board</w:t>
      </w:r>
      <w:r w:rsidRPr="001F4A0E">
        <w:rPr>
          <w:rFonts w:ascii="Verdana" w:hAnsi="Verdana" w:cs="Arial"/>
          <w:color w:val="000000"/>
          <w:sz w:val="18"/>
          <w:szCs w:val="18"/>
          <w:lang w:val="en-US"/>
        </w:rPr>
        <w:t xml:space="preserve"> on the appointment </w:t>
      </w:r>
      <w:proofErr w:type="gramStart"/>
      <w:r w:rsidRPr="001F4A0E">
        <w:rPr>
          <w:rFonts w:ascii="Verdana" w:hAnsi="Verdana" w:cs="Arial"/>
          <w:color w:val="000000"/>
          <w:sz w:val="18"/>
          <w:szCs w:val="18"/>
          <w:lang w:val="en-US"/>
        </w:rPr>
        <w:t>on the basis of</w:t>
      </w:r>
      <w:proofErr w:type="gramEnd"/>
      <w:r w:rsidRPr="001F4A0E">
        <w:rPr>
          <w:rFonts w:ascii="Verdana" w:hAnsi="Verdana" w:cs="Arial"/>
          <w:color w:val="000000"/>
          <w:sz w:val="18"/>
          <w:szCs w:val="18"/>
          <w:lang w:val="en-US"/>
        </w:rPr>
        <w:t xml:space="preserve"> this meeting. This advice will be </w:t>
      </w:r>
      <w:proofErr w:type="gramStart"/>
      <w:r w:rsidRPr="001F4A0E">
        <w:rPr>
          <w:rFonts w:ascii="Verdana" w:hAnsi="Verdana" w:cs="Arial"/>
          <w:color w:val="000000"/>
          <w:sz w:val="18"/>
          <w:szCs w:val="18"/>
          <w:lang w:val="en-US"/>
        </w:rPr>
        <w:t>taken into account</w:t>
      </w:r>
      <w:proofErr w:type="gramEnd"/>
      <w:r w:rsidRPr="001F4A0E">
        <w:rPr>
          <w:rFonts w:ascii="Verdana" w:hAnsi="Verdana" w:cs="Arial"/>
          <w:color w:val="000000"/>
          <w:sz w:val="18"/>
          <w:szCs w:val="18"/>
          <w:lang w:val="en-US"/>
        </w:rPr>
        <w:t xml:space="preserve"> by the </w:t>
      </w:r>
      <w:r>
        <w:rPr>
          <w:rFonts w:ascii="Verdana" w:hAnsi="Verdana" w:cs="Arial"/>
          <w:color w:val="000000"/>
          <w:sz w:val="18"/>
          <w:szCs w:val="18"/>
          <w:lang w:val="en-US"/>
        </w:rPr>
        <w:t>Executive Board</w:t>
      </w:r>
      <w:r w:rsidRPr="001F4A0E">
        <w:rPr>
          <w:rFonts w:ascii="Verdana" w:hAnsi="Verdana" w:cs="Arial"/>
          <w:color w:val="000000"/>
          <w:sz w:val="18"/>
          <w:szCs w:val="18"/>
          <w:lang w:val="en-US"/>
        </w:rPr>
        <w:t xml:space="preserve"> in its decision on the appointment.</w:t>
      </w:r>
    </w:p>
    <w:p w14:paraId="17861B2F" w14:textId="77777777" w:rsidR="008063D3" w:rsidRPr="00897AC5" w:rsidRDefault="008063D3" w:rsidP="00897AC5">
      <w:pPr>
        <w:spacing w:line="276" w:lineRule="auto"/>
        <w:rPr>
          <w:rFonts w:ascii="Verdana" w:hAnsi="Verdana" w:cs="Arial"/>
          <w:color w:val="000000"/>
          <w:sz w:val="18"/>
          <w:szCs w:val="18"/>
          <w:lang w:val="en-US"/>
        </w:rPr>
      </w:pPr>
    </w:p>
    <w:p w14:paraId="76D8AA34" w14:textId="58CB98F2" w:rsidR="008063D3" w:rsidRPr="00897AC5" w:rsidRDefault="008063D3" w:rsidP="001661B4">
      <w:pPr>
        <w:pStyle w:val="Lijstalinea"/>
        <w:numPr>
          <w:ilvl w:val="0"/>
          <w:numId w:val="3"/>
        </w:numPr>
        <w:autoSpaceDE w:val="0"/>
        <w:autoSpaceDN w:val="0"/>
        <w:adjustRightInd w:val="0"/>
        <w:spacing w:line="276" w:lineRule="auto"/>
        <w:ind w:left="426" w:hanging="426"/>
        <w:rPr>
          <w:rFonts w:ascii="Verdana" w:hAnsi="Verdana" w:cs="Arial"/>
          <w:color w:val="000000"/>
          <w:sz w:val="18"/>
          <w:szCs w:val="18"/>
          <w:lang w:val="en-US"/>
        </w:rPr>
      </w:pPr>
      <w:r>
        <w:rPr>
          <w:rFonts w:ascii="Verdana" w:hAnsi="Verdana" w:cs="Arial"/>
          <w:color w:val="000000"/>
          <w:sz w:val="18"/>
          <w:szCs w:val="18"/>
          <w:lang w:val="en-GB"/>
        </w:rPr>
        <w:t xml:space="preserve">The ombudsperson shall be independent and impartial in </w:t>
      </w:r>
      <w:r w:rsidR="00F978D8">
        <w:rPr>
          <w:rFonts w:ascii="Verdana" w:hAnsi="Verdana" w:cs="Arial"/>
          <w:color w:val="000000"/>
          <w:sz w:val="18"/>
          <w:szCs w:val="18"/>
          <w:lang w:val="en-GB"/>
        </w:rPr>
        <w:t>its</w:t>
      </w:r>
      <w:r>
        <w:rPr>
          <w:rFonts w:ascii="Verdana" w:hAnsi="Verdana" w:cs="Arial"/>
          <w:color w:val="000000"/>
          <w:sz w:val="18"/>
          <w:szCs w:val="18"/>
          <w:lang w:val="en-GB"/>
        </w:rPr>
        <w:t xml:space="preserve"> duties and shall not be subordinate to </w:t>
      </w:r>
      <w:proofErr w:type="spellStart"/>
      <w:r>
        <w:rPr>
          <w:rFonts w:ascii="Verdana" w:hAnsi="Verdana" w:cs="Arial"/>
          <w:color w:val="000000"/>
          <w:sz w:val="18"/>
          <w:szCs w:val="18"/>
          <w:lang w:val="en-GB"/>
        </w:rPr>
        <w:t>any body</w:t>
      </w:r>
      <w:proofErr w:type="spellEnd"/>
      <w:r>
        <w:rPr>
          <w:rFonts w:ascii="Verdana" w:hAnsi="Verdana" w:cs="Arial"/>
          <w:color w:val="000000"/>
          <w:sz w:val="18"/>
          <w:szCs w:val="18"/>
          <w:lang w:val="en-GB"/>
        </w:rPr>
        <w:t xml:space="preserve">. The position of ombudsperson is incompatible with any other position or activity at Wageningen University &amp; Research. </w:t>
      </w:r>
    </w:p>
    <w:p w14:paraId="71068F57" w14:textId="77777777" w:rsidR="008063D3" w:rsidRPr="00897AC5" w:rsidRDefault="008063D3" w:rsidP="001661B4">
      <w:pPr>
        <w:pStyle w:val="Lijstalinea"/>
        <w:spacing w:line="276" w:lineRule="auto"/>
        <w:rPr>
          <w:rFonts w:ascii="Verdana" w:hAnsi="Verdana" w:cs="Arial"/>
          <w:color w:val="000000"/>
          <w:sz w:val="18"/>
          <w:szCs w:val="18"/>
          <w:lang w:val="en-US"/>
        </w:rPr>
      </w:pPr>
    </w:p>
    <w:p w14:paraId="3EC0F1C3" w14:textId="57811C8F" w:rsidR="000C336C" w:rsidRPr="00897AC5" w:rsidRDefault="008063D3" w:rsidP="001661B4">
      <w:pPr>
        <w:pStyle w:val="Lijstalinea"/>
        <w:numPr>
          <w:ilvl w:val="0"/>
          <w:numId w:val="3"/>
        </w:numPr>
        <w:autoSpaceDE w:val="0"/>
        <w:autoSpaceDN w:val="0"/>
        <w:adjustRightInd w:val="0"/>
        <w:spacing w:line="276" w:lineRule="auto"/>
        <w:ind w:left="426" w:hanging="426"/>
        <w:rPr>
          <w:rFonts w:ascii="Verdana" w:hAnsi="Verdana" w:cs="Arial"/>
          <w:color w:val="000000"/>
          <w:sz w:val="18"/>
          <w:szCs w:val="18"/>
          <w:lang w:val="en-US"/>
        </w:rPr>
      </w:pPr>
      <w:r>
        <w:rPr>
          <w:rFonts w:ascii="Verdana" w:hAnsi="Verdana" w:cs="Arial"/>
          <w:color w:val="000000"/>
          <w:sz w:val="18"/>
          <w:szCs w:val="18"/>
          <w:lang w:val="en-GB"/>
        </w:rPr>
        <w:t xml:space="preserve">The ombudsperson handles reports from (groups of) employees and </w:t>
      </w:r>
      <w:proofErr w:type="gramStart"/>
      <w:r>
        <w:rPr>
          <w:rFonts w:ascii="Verdana" w:hAnsi="Verdana" w:cs="Arial"/>
          <w:color w:val="000000"/>
          <w:sz w:val="18"/>
          <w:szCs w:val="18"/>
          <w:lang w:val="en-GB"/>
        </w:rPr>
        <w:t>students, and</w:t>
      </w:r>
      <w:proofErr w:type="gramEnd"/>
      <w:r>
        <w:rPr>
          <w:rFonts w:ascii="Verdana" w:hAnsi="Verdana" w:cs="Arial"/>
          <w:color w:val="000000"/>
          <w:sz w:val="18"/>
          <w:szCs w:val="18"/>
          <w:lang w:val="en-GB"/>
        </w:rPr>
        <w:t xml:space="preserve"> advises on larger trends in the social safety field. The ombudsperson deals with individual </w:t>
      </w:r>
      <w:proofErr w:type="gramStart"/>
      <w:r>
        <w:rPr>
          <w:rFonts w:ascii="Verdana" w:hAnsi="Verdana" w:cs="Arial"/>
          <w:color w:val="000000"/>
          <w:sz w:val="18"/>
          <w:szCs w:val="18"/>
          <w:lang w:val="en-GB"/>
        </w:rPr>
        <w:t>cases, but</w:t>
      </w:r>
      <w:proofErr w:type="gramEnd"/>
      <w:r>
        <w:rPr>
          <w:rFonts w:ascii="Verdana" w:hAnsi="Verdana" w:cs="Arial"/>
          <w:color w:val="000000"/>
          <w:sz w:val="18"/>
          <w:szCs w:val="18"/>
          <w:lang w:val="en-GB"/>
        </w:rPr>
        <w:t xml:space="preserve"> does not deal with issues relating to legal affairs, issues that have already been dealt with and cases that have been explicitly assigned to specific committees. The ombudsperson does however act if they notice a trend. The position is complementary to the existing support structure and should not duplicate the roles of other actors in the support structure, such as confidential counsellors or committees. </w:t>
      </w:r>
    </w:p>
    <w:p w14:paraId="489E57AA" w14:textId="77777777" w:rsidR="008063D3" w:rsidRPr="00897AC5" w:rsidRDefault="008063D3" w:rsidP="001661B4">
      <w:pPr>
        <w:pStyle w:val="Lijstalinea"/>
        <w:spacing w:line="276" w:lineRule="auto"/>
        <w:rPr>
          <w:rFonts w:ascii="Verdana" w:hAnsi="Verdana" w:cs="Arial"/>
          <w:color w:val="000000"/>
          <w:sz w:val="18"/>
          <w:szCs w:val="18"/>
          <w:lang w:val="en-US"/>
        </w:rPr>
      </w:pPr>
    </w:p>
    <w:p w14:paraId="3A148775" w14:textId="37F71F6E" w:rsidR="00C1454E" w:rsidRPr="00897AC5" w:rsidRDefault="008063D3" w:rsidP="001661B4">
      <w:pPr>
        <w:pStyle w:val="Lijstalinea"/>
        <w:numPr>
          <w:ilvl w:val="0"/>
          <w:numId w:val="3"/>
        </w:numPr>
        <w:autoSpaceDE w:val="0"/>
        <w:autoSpaceDN w:val="0"/>
        <w:adjustRightInd w:val="0"/>
        <w:spacing w:line="276" w:lineRule="auto"/>
        <w:ind w:left="426" w:hanging="426"/>
        <w:rPr>
          <w:rFonts w:ascii="Verdana" w:hAnsi="Verdana" w:cs="Arial"/>
          <w:color w:val="000000"/>
          <w:sz w:val="18"/>
          <w:szCs w:val="18"/>
          <w:lang w:val="en-US"/>
        </w:rPr>
      </w:pPr>
      <w:r>
        <w:rPr>
          <w:rFonts w:ascii="Verdana" w:hAnsi="Verdana" w:cs="Museo Sans 100"/>
          <w:color w:val="000000"/>
          <w:sz w:val="18"/>
          <w:szCs w:val="18"/>
          <w:lang w:val="en-GB"/>
        </w:rPr>
        <w:t xml:space="preserve">The ombudsperson reports on their activities annually to the Executive Board, the Local Participation and the </w:t>
      </w:r>
      <w:proofErr w:type="spellStart"/>
      <w:r>
        <w:rPr>
          <w:rFonts w:ascii="Verdana" w:hAnsi="Verdana" w:cs="Museo Sans 100"/>
          <w:color w:val="000000"/>
          <w:sz w:val="18"/>
          <w:szCs w:val="18"/>
          <w:lang w:val="en-GB"/>
        </w:rPr>
        <w:t>participational</w:t>
      </w:r>
      <w:proofErr w:type="spellEnd"/>
      <w:r>
        <w:rPr>
          <w:rFonts w:ascii="Verdana" w:hAnsi="Verdana" w:cs="Museo Sans 100"/>
          <w:color w:val="000000"/>
          <w:sz w:val="18"/>
          <w:szCs w:val="18"/>
          <w:lang w:val="en-GB"/>
        </w:rPr>
        <w:t xml:space="preserve"> structure.</w:t>
      </w:r>
    </w:p>
    <w:p w14:paraId="409D7164" w14:textId="77777777" w:rsidR="00C1454E" w:rsidRPr="00897AC5" w:rsidRDefault="00C1454E" w:rsidP="001661B4">
      <w:pPr>
        <w:pStyle w:val="Lijstalinea"/>
        <w:spacing w:line="276" w:lineRule="auto"/>
        <w:rPr>
          <w:rFonts w:ascii="Verdana" w:hAnsi="Verdana" w:cs="Museo Sans 100"/>
          <w:color w:val="000000"/>
          <w:sz w:val="18"/>
          <w:szCs w:val="18"/>
          <w:lang w:val="en-US"/>
        </w:rPr>
      </w:pPr>
    </w:p>
    <w:p w14:paraId="05A1FEB9" w14:textId="77777777" w:rsidR="00161618" w:rsidRPr="00897AC5" w:rsidRDefault="00C1454E" w:rsidP="00161618">
      <w:pPr>
        <w:pStyle w:val="Lijstalinea"/>
        <w:numPr>
          <w:ilvl w:val="0"/>
          <w:numId w:val="3"/>
        </w:numPr>
        <w:autoSpaceDE w:val="0"/>
        <w:autoSpaceDN w:val="0"/>
        <w:adjustRightInd w:val="0"/>
        <w:spacing w:line="276" w:lineRule="auto"/>
        <w:ind w:left="426" w:hanging="426"/>
        <w:rPr>
          <w:rFonts w:ascii="Verdana" w:hAnsi="Verdana" w:cs="Arial"/>
          <w:color w:val="000000"/>
          <w:sz w:val="18"/>
          <w:szCs w:val="18"/>
          <w:lang w:val="en-US"/>
        </w:rPr>
      </w:pPr>
      <w:r>
        <w:rPr>
          <w:rFonts w:ascii="Verdana" w:hAnsi="Verdana" w:cs="Museo Sans 100"/>
          <w:color w:val="000000"/>
          <w:sz w:val="18"/>
          <w:szCs w:val="18"/>
          <w:lang w:val="en-GB"/>
        </w:rPr>
        <w:lastRenderedPageBreak/>
        <w:t>The ombudsperson is provided with the resources necessary for the proper performance of their duties, such as the availability of a room that guarantees confidentiality and anonymity, an adequate investigation budget and the necessary ICT facilities (including a secure ICT system for registering reports).</w:t>
      </w:r>
    </w:p>
    <w:p w14:paraId="32B5AA4B" w14:textId="77777777" w:rsidR="00161618" w:rsidRPr="00897AC5" w:rsidRDefault="00161618" w:rsidP="00161618">
      <w:pPr>
        <w:pStyle w:val="Lijstalinea"/>
        <w:rPr>
          <w:rFonts w:cstheme="minorHAnsi"/>
          <w:i/>
          <w:iCs/>
          <w:sz w:val="18"/>
          <w:szCs w:val="18"/>
          <w:lang w:val="en-US"/>
        </w:rPr>
      </w:pPr>
    </w:p>
    <w:p w14:paraId="0BB89A44" w14:textId="251E8073" w:rsidR="00161618" w:rsidRPr="00897AC5" w:rsidRDefault="00161618" w:rsidP="00161618">
      <w:pPr>
        <w:pStyle w:val="Lijstalinea"/>
        <w:numPr>
          <w:ilvl w:val="0"/>
          <w:numId w:val="3"/>
        </w:numPr>
        <w:autoSpaceDE w:val="0"/>
        <w:autoSpaceDN w:val="0"/>
        <w:adjustRightInd w:val="0"/>
        <w:spacing w:line="276" w:lineRule="auto"/>
        <w:ind w:left="426" w:hanging="426"/>
        <w:rPr>
          <w:rFonts w:ascii="Verdana" w:hAnsi="Verdana" w:cs="Arial"/>
          <w:color w:val="000000"/>
          <w:sz w:val="18"/>
          <w:szCs w:val="18"/>
          <w:lang w:val="en-US"/>
        </w:rPr>
      </w:pPr>
      <w:r>
        <w:rPr>
          <w:rFonts w:ascii="Verdana" w:hAnsi="Verdana" w:cs="Arial"/>
          <w:color w:val="000000"/>
          <w:sz w:val="18"/>
          <w:szCs w:val="18"/>
          <w:lang w:val="en-GB"/>
        </w:rPr>
        <w:t xml:space="preserve">The Executive Board and the ombudsperson meet annually to discuss and evaluate the ombudsperson’s work. The Local Participation and the </w:t>
      </w:r>
      <w:proofErr w:type="spellStart"/>
      <w:r>
        <w:rPr>
          <w:rFonts w:ascii="Verdana" w:hAnsi="Verdana" w:cs="Arial"/>
          <w:color w:val="000000"/>
          <w:sz w:val="18"/>
          <w:szCs w:val="18"/>
          <w:lang w:val="en-GB"/>
        </w:rPr>
        <w:t>participational</w:t>
      </w:r>
      <w:proofErr w:type="spellEnd"/>
      <w:r>
        <w:rPr>
          <w:rFonts w:ascii="Verdana" w:hAnsi="Verdana" w:cs="Arial"/>
          <w:color w:val="000000"/>
          <w:sz w:val="18"/>
          <w:szCs w:val="18"/>
          <w:lang w:val="en-GB"/>
        </w:rPr>
        <w:t xml:space="preserve"> structure shall inform the Executive Board of their findings prior to this meeting.</w:t>
      </w:r>
    </w:p>
    <w:p w14:paraId="083F9EB7" w14:textId="77777777" w:rsidR="00161618" w:rsidRPr="00897AC5" w:rsidRDefault="00161618" w:rsidP="00161618">
      <w:pPr>
        <w:autoSpaceDE w:val="0"/>
        <w:autoSpaceDN w:val="0"/>
        <w:adjustRightInd w:val="0"/>
        <w:spacing w:line="276" w:lineRule="auto"/>
        <w:rPr>
          <w:rFonts w:ascii="Verdana" w:hAnsi="Verdana" w:cs="Arial"/>
          <w:color w:val="000000"/>
          <w:sz w:val="18"/>
          <w:szCs w:val="18"/>
          <w:lang w:val="en-US"/>
        </w:rPr>
      </w:pPr>
    </w:p>
    <w:p w14:paraId="71375F5B" w14:textId="5CCB8F26" w:rsidR="00C1454E" w:rsidRPr="00897AC5" w:rsidRDefault="008063D3" w:rsidP="001661B4">
      <w:pPr>
        <w:pStyle w:val="Lijstalinea"/>
        <w:numPr>
          <w:ilvl w:val="0"/>
          <w:numId w:val="3"/>
        </w:numPr>
        <w:autoSpaceDE w:val="0"/>
        <w:autoSpaceDN w:val="0"/>
        <w:adjustRightInd w:val="0"/>
        <w:spacing w:line="276" w:lineRule="auto"/>
        <w:ind w:left="426" w:hanging="426"/>
        <w:rPr>
          <w:rFonts w:ascii="Verdana" w:hAnsi="Verdana" w:cs="Arial"/>
          <w:color w:val="000000"/>
          <w:sz w:val="18"/>
          <w:szCs w:val="18"/>
          <w:lang w:val="en-US"/>
        </w:rPr>
      </w:pPr>
      <w:r>
        <w:rPr>
          <w:rFonts w:ascii="Verdana" w:hAnsi="Verdana" w:cs="Arial"/>
          <w:color w:val="000000"/>
          <w:sz w:val="18"/>
          <w:szCs w:val="18"/>
          <w:lang w:val="en-GB"/>
        </w:rPr>
        <w:t xml:space="preserve">The ombudsperson may be suspended from their duties at the request of the Executive Board or if their actions or neglect severely damage the trust placed in them. </w:t>
      </w:r>
    </w:p>
    <w:p w14:paraId="09E9BFB0" w14:textId="77777777" w:rsidR="00C1454E" w:rsidRPr="00897AC5" w:rsidRDefault="00C1454E" w:rsidP="001661B4">
      <w:pPr>
        <w:pStyle w:val="Lijstalinea"/>
        <w:autoSpaceDE w:val="0"/>
        <w:autoSpaceDN w:val="0"/>
        <w:adjustRightInd w:val="0"/>
        <w:spacing w:line="276" w:lineRule="auto"/>
        <w:ind w:left="426"/>
        <w:rPr>
          <w:rFonts w:ascii="Verdana" w:hAnsi="Verdana" w:cs="Arial"/>
          <w:color w:val="000000"/>
          <w:sz w:val="18"/>
          <w:szCs w:val="18"/>
          <w:lang w:val="en-US"/>
        </w:rPr>
      </w:pPr>
    </w:p>
    <w:p w14:paraId="73741206" w14:textId="61D3BB29" w:rsidR="008063D3" w:rsidRPr="00897AC5" w:rsidRDefault="008063D3" w:rsidP="001661B4">
      <w:pPr>
        <w:pStyle w:val="Lijstalinea"/>
        <w:numPr>
          <w:ilvl w:val="0"/>
          <w:numId w:val="3"/>
        </w:numPr>
        <w:autoSpaceDE w:val="0"/>
        <w:autoSpaceDN w:val="0"/>
        <w:adjustRightInd w:val="0"/>
        <w:spacing w:line="276" w:lineRule="auto"/>
        <w:ind w:left="426" w:hanging="426"/>
        <w:rPr>
          <w:rFonts w:ascii="Verdana" w:hAnsi="Verdana" w:cs="Arial"/>
          <w:color w:val="000000"/>
          <w:sz w:val="18"/>
          <w:szCs w:val="18"/>
          <w:lang w:val="en-US"/>
        </w:rPr>
      </w:pPr>
      <w:r>
        <w:rPr>
          <w:rFonts w:ascii="Verdana" w:hAnsi="Verdana" w:cs="Arial"/>
          <w:color w:val="000000"/>
          <w:sz w:val="18"/>
          <w:szCs w:val="18"/>
          <w:lang w:val="en-GB"/>
        </w:rPr>
        <w:t xml:space="preserve">After having notified the Local Participation and the </w:t>
      </w:r>
      <w:proofErr w:type="spellStart"/>
      <w:r>
        <w:rPr>
          <w:rFonts w:ascii="Verdana" w:hAnsi="Verdana" w:cs="Arial"/>
          <w:color w:val="000000"/>
          <w:sz w:val="18"/>
          <w:szCs w:val="18"/>
          <w:lang w:val="en-GB"/>
        </w:rPr>
        <w:t>participational</w:t>
      </w:r>
      <w:proofErr w:type="spellEnd"/>
      <w:r>
        <w:rPr>
          <w:rFonts w:ascii="Verdana" w:hAnsi="Verdana" w:cs="Arial"/>
          <w:color w:val="000000"/>
          <w:sz w:val="18"/>
          <w:szCs w:val="18"/>
          <w:lang w:val="en-GB"/>
        </w:rPr>
        <w:t xml:space="preserve"> structure, the Executive Board shall appoint a deputy to the ombudsperson if the ombudsperson is expected to be unable to perform their duties for more than six weeks. </w:t>
      </w:r>
    </w:p>
    <w:p w14:paraId="46E472A1" w14:textId="77777777" w:rsidR="008063D3" w:rsidRPr="00897AC5" w:rsidRDefault="008063D3" w:rsidP="001661B4">
      <w:pPr>
        <w:pStyle w:val="Lijstalinea"/>
        <w:spacing w:line="276" w:lineRule="auto"/>
        <w:rPr>
          <w:rFonts w:ascii="Verdana" w:hAnsi="Verdana" w:cs="Arial"/>
          <w:color w:val="000000"/>
          <w:sz w:val="18"/>
          <w:szCs w:val="18"/>
          <w:lang w:val="en-US"/>
        </w:rPr>
      </w:pPr>
    </w:p>
    <w:p w14:paraId="63274784" w14:textId="5B54E831" w:rsidR="008063D3" w:rsidRPr="00897AC5" w:rsidRDefault="008063D3" w:rsidP="001661B4">
      <w:pPr>
        <w:pStyle w:val="Lijstalinea"/>
        <w:numPr>
          <w:ilvl w:val="0"/>
          <w:numId w:val="3"/>
        </w:numPr>
        <w:autoSpaceDE w:val="0"/>
        <w:autoSpaceDN w:val="0"/>
        <w:adjustRightInd w:val="0"/>
        <w:spacing w:line="276" w:lineRule="auto"/>
        <w:ind w:left="426" w:hanging="426"/>
        <w:rPr>
          <w:rFonts w:ascii="Verdana" w:hAnsi="Verdana" w:cs="Arial"/>
          <w:color w:val="000000"/>
          <w:sz w:val="18"/>
          <w:szCs w:val="18"/>
          <w:lang w:val="en-US"/>
        </w:rPr>
      </w:pPr>
      <w:r>
        <w:rPr>
          <w:rFonts w:ascii="Verdana" w:hAnsi="Verdana" w:cs="Arial"/>
          <w:color w:val="000000"/>
          <w:sz w:val="18"/>
          <w:szCs w:val="18"/>
          <w:lang w:val="en-GB"/>
        </w:rPr>
        <w:t>The deputy ombudsperson shall take office at a time determined by the Executive Board. They shall remain in office until the ombudsperson resumes their duties or until a new ombudsperson takes up their duties.</w:t>
      </w:r>
    </w:p>
    <w:p w14:paraId="74EF7435" w14:textId="77777777" w:rsidR="008063D3" w:rsidRPr="00897AC5" w:rsidRDefault="008063D3" w:rsidP="001661B4">
      <w:pPr>
        <w:pStyle w:val="Lijstalinea"/>
        <w:spacing w:line="276" w:lineRule="auto"/>
        <w:rPr>
          <w:rFonts w:ascii="Verdana" w:hAnsi="Verdana" w:cs="Arial"/>
          <w:color w:val="000000"/>
          <w:sz w:val="18"/>
          <w:szCs w:val="18"/>
          <w:lang w:val="en-US"/>
        </w:rPr>
      </w:pPr>
    </w:p>
    <w:p w14:paraId="30A02978" w14:textId="6F17CA36" w:rsidR="008063D3" w:rsidRPr="00897AC5" w:rsidRDefault="008063D3" w:rsidP="001661B4">
      <w:pPr>
        <w:pStyle w:val="Lijstalinea"/>
        <w:numPr>
          <w:ilvl w:val="0"/>
          <w:numId w:val="3"/>
        </w:numPr>
        <w:autoSpaceDE w:val="0"/>
        <w:autoSpaceDN w:val="0"/>
        <w:adjustRightInd w:val="0"/>
        <w:spacing w:line="276" w:lineRule="auto"/>
        <w:ind w:left="426" w:hanging="426"/>
        <w:rPr>
          <w:rFonts w:ascii="Verdana" w:hAnsi="Verdana" w:cs="Arial"/>
          <w:color w:val="000000"/>
          <w:sz w:val="18"/>
          <w:szCs w:val="18"/>
          <w:lang w:val="en-US"/>
        </w:rPr>
      </w:pPr>
      <w:r>
        <w:rPr>
          <w:rFonts w:ascii="Verdana" w:hAnsi="Verdana" w:cs="Arial"/>
          <w:color w:val="000000"/>
          <w:sz w:val="18"/>
          <w:szCs w:val="18"/>
          <w:lang w:val="en-GB"/>
        </w:rPr>
        <w:t xml:space="preserve">The Executive Board shall ensure that the ombudsperson is not disadvantaged in their position </w:t>
      </w:r>
      <w:proofErr w:type="gramStart"/>
      <w:r>
        <w:rPr>
          <w:rFonts w:ascii="Verdana" w:hAnsi="Verdana" w:cs="Arial"/>
          <w:color w:val="000000"/>
          <w:sz w:val="18"/>
          <w:szCs w:val="18"/>
          <w:lang w:val="en-GB"/>
        </w:rPr>
        <w:t>as a result of</w:t>
      </w:r>
      <w:proofErr w:type="gramEnd"/>
      <w:r>
        <w:rPr>
          <w:rFonts w:ascii="Verdana" w:hAnsi="Verdana" w:cs="Arial"/>
          <w:color w:val="000000"/>
          <w:sz w:val="18"/>
          <w:szCs w:val="18"/>
          <w:lang w:val="en-GB"/>
        </w:rPr>
        <w:t xml:space="preserve"> their performance.</w:t>
      </w:r>
    </w:p>
    <w:p w14:paraId="2CB43C3D" w14:textId="77777777" w:rsidR="008063D3" w:rsidRPr="00897AC5" w:rsidRDefault="008063D3" w:rsidP="001661B4">
      <w:pPr>
        <w:spacing w:line="276" w:lineRule="auto"/>
        <w:rPr>
          <w:rFonts w:ascii="Verdana" w:hAnsi="Verdana" w:cs="Arial"/>
          <w:color w:val="000000"/>
          <w:sz w:val="18"/>
          <w:szCs w:val="18"/>
          <w:lang w:val="en-US"/>
        </w:rPr>
      </w:pPr>
    </w:p>
    <w:p w14:paraId="56B7EC8F" w14:textId="02F4D00D" w:rsidR="000C336C" w:rsidRPr="00897AC5" w:rsidRDefault="008063D3" w:rsidP="001661B4">
      <w:pPr>
        <w:pStyle w:val="Lijstalinea"/>
        <w:numPr>
          <w:ilvl w:val="0"/>
          <w:numId w:val="3"/>
        </w:numPr>
        <w:autoSpaceDE w:val="0"/>
        <w:autoSpaceDN w:val="0"/>
        <w:adjustRightInd w:val="0"/>
        <w:spacing w:line="276" w:lineRule="auto"/>
        <w:ind w:left="426" w:hanging="426"/>
        <w:rPr>
          <w:rFonts w:ascii="Verdana" w:hAnsi="Verdana" w:cs="Arial"/>
          <w:color w:val="000000"/>
          <w:sz w:val="18"/>
          <w:szCs w:val="18"/>
          <w:lang w:val="en-US"/>
        </w:rPr>
      </w:pPr>
      <w:r>
        <w:rPr>
          <w:rFonts w:ascii="Verdana" w:hAnsi="Verdana" w:cs="Arial"/>
          <w:color w:val="000000"/>
          <w:sz w:val="18"/>
          <w:szCs w:val="18"/>
          <w:lang w:val="en-GB"/>
        </w:rPr>
        <w:t>Complaints about the ombudsperson may be submitted to the Executive Board. If these are not resolved satisfactorily, they can be reported to the Supervisory Board. The ombudsperson shall be exempt from costs of legal assistance in the event of disputes or complaints against them.</w:t>
      </w:r>
    </w:p>
    <w:p w14:paraId="68FB0762" w14:textId="77777777" w:rsidR="000C336C" w:rsidRPr="00897AC5" w:rsidRDefault="000C336C" w:rsidP="001661B4">
      <w:pPr>
        <w:pStyle w:val="Lijstalinea"/>
        <w:spacing w:line="276" w:lineRule="auto"/>
        <w:rPr>
          <w:rFonts w:ascii="Verdana" w:hAnsi="Verdana" w:cs="Arial"/>
          <w:color w:val="000000"/>
          <w:sz w:val="18"/>
          <w:szCs w:val="18"/>
          <w:lang w:val="en-US"/>
        </w:rPr>
      </w:pPr>
    </w:p>
    <w:p w14:paraId="0A41EE56" w14:textId="42A4EA86" w:rsidR="000C336C" w:rsidRPr="00897AC5" w:rsidRDefault="000C336C" w:rsidP="001661B4">
      <w:pPr>
        <w:pStyle w:val="Lijstalinea"/>
        <w:numPr>
          <w:ilvl w:val="0"/>
          <w:numId w:val="3"/>
        </w:numPr>
        <w:autoSpaceDE w:val="0"/>
        <w:autoSpaceDN w:val="0"/>
        <w:adjustRightInd w:val="0"/>
        <w:spacing w:line="276" w:lineRule="auto"/>
        <w:ind w:left="426" w:hanging="426"/>
        <w:rPr>
          <w:rFonts w:ascii="Verdana" w:hAnsi="Verdana" w:cs="Arial"/>
          <w:color w:val="000000"/>
          <w:sz w:val="18"/>
          <w:szCs w:val="18"/>
          <w:lang w:val="en-US"/>
        </w:rPr>
      </w:pPr>
      <w:r>
        <w:rPr>
          <w:rFonts w:ascii="Verdana" w:hAnsi="Verdana" w:cs="Arial"/>
          <w:color w:val="000000"/>
          <w:sz w:val="18"/>
          <w:szCs w:val="18"/>
          <w:lang w:val="en-GB"/>
        </w:rPr>
        <w:t xml:space="preserve">The ombudsperson advises, and is accountable to, the Executive Board of Wageningen University &amp; Research. The ombudsperson is bound by professional secrecy and is independent in the performance of their duties. The ombudsperson performs their duties within the framework of the General Data Protection Regulation (AVG). </w:t>
      </w:r>
    </w:p>
    <w:p w14:paraId="41836DE8" w14:textId="467AD6DF" w:rsidR="00DD3E75" w:rsidRPr="00897AC5" w:rsidRDefault="00DD3E75" w:rsidP="001661B4">
      <w:pPr>
        <w:autoSpaceDE w:val="0"/>
        <w:autoSpaceDN w:val="0"/>
        <w:adjustRightInd w:val="0"/>
        <w:spacing w:line="276" w:lineRule="auto"/>
        <w:rPr>
          <w:rFonts w:ascii="Verdana" w:hAnsi="Verdana" w:cs="Arial"/>
          <w:color w:val="000000"/>
          <w:sz w:val="18"/>
          <w:szCs w:val="18"/>
          <w:lang w:val="en-US"/>
        </w:rPr>
      </w:pPr>
    </w:p>
    <w:p w14:paraId="05AEEB78" w14:textId="5A705E93" w:rsidR="00E21DDE" w:rsidRPr="00897AC5" w:rsidRDefault="000C336C" w:rsidP="00825D3C">
      <w:pPr>
        <w:pStyle w:val="Kop1"/>
        <w:rPr>
          <w:rFonts w:ascii="Verdana" w:hAnsi="Verdana"/>
          <w:sz w:val="24"/>
          <w:szCs w:val="24"/>
          <w:lang w:val="en-US"/>
        </w:rPr>
      </w:pPr>
      <w:bookmarkStart w:id="3" w:name="_Toc82534035"/>
      <w:r>
        <w:rPr>
          <w:rFonts w:ascii="Verdana" w:hAnsi="Verdana"/>
          <w:sz w:val="24"/>
          <w:szCs w:val="24"/>
          <w:lang w:val="en-GB"/>
        </w:rPr>
        <w:t>Article 3 – Tasks and competencies of the ombudsperson</w:t>
      </w:r>
      <w:bookmarkEnd w:id="3"/>
      <w:r>
        <w:rPr>
          <w:rFonts w:ascii="Verdana" w:hAnsi="Verdana"/>
          <w:sz w:val="24"/>
          <w:szCs w:val="24"/>
          <w:lang w:val="en-GB"/>
        </w:rPr>
        <w:t xml:space="preserve"> </w:t>
      </w:r>
    </w:p>
    <w:p w14:paraId="6C9F96EB" w14:textId="496FE9EA" w:rsidR="00B9611B" w:rsidRPr="00897AC5" w:rsidRDefault="00B9611B" w:rsidP="001661B4">
      <w:pPr>
        <w:pStyle w:val="Lijstalinea"/>
        <w:numPr>
          <w:ilvl w:val="0"/>
          <w:numId w:val="5"/>
        </w:numPr>
        <w:tabs>
          <w:tab w:val="left" w:pos="544"/>
        </w:tabs>
        <w:spacing w:line="276" w:lineRule="auto"/>
        <w:ind w:right="276"/>
        <w:rPr>
          <w:rFonts w:ascii="Verdana" w:hAnsi="Verdana" w:cs="Arial"/>
          <w:color w:val="000000"/>
          <w:sz w:val="18"/>
          <w:szCs w:val="18"/>
          <w:lang w:val="en-US"/>
        </w:rPr>
      </w:pPr>
      <w:r>
        <w:rPr>
          <w:rFonts w:ascii="Verdana" w:hAnsi="Verdana" w:cs="Arial"/>
          <w:color w:val="000000"/>
          <w:sz w:val="18"/>
          <w:szCs w:val="18"/>
          <w:lang w:val="en-GB"/>
        </w:rPr>
        <w:t>The ombudsperson has the following responsibilities:</w:t>
      </w:r>
    </w:p>
    <w:p w14:paraId="5BF157DC" w14:textId="77777777" w:rsidR="00B9611B" w:rsidRPr="00897AC5" w:rsidRDefault="00B9611B" w:rsidP="001661B4">
      <w:pPr>
        <w:pStyle w:val="Lijstalinea"/>
        <w:numPr>
          <w:ilvl w:val="1"/>
          <w:numId w:val="5"/>
        </w:numPr>
        <w:tabs>
          <w:tab w:val="left" w:pos="544"/>
        </w:tabs>
        <w:spacing w:line="276" w:lineRule="auto"/>
        <w:ind w:right="276"/>
        <w:rPr>
          <w:rFonts w:ascii="Verdana" w:hAnsi="Verdana" w:cs="Arial"/>
          <w:color w:val="000000"/>
          <w:sz w:val="18"/>
          <w:szCs w:val="18"/>
          <w:lang w:val="en-US"/>
        </w:rPr>
      </w:pPr>
      <w:r>
        <w:rPr>
          <w:rFonts w:ascii="Verdana" w:hAnsi="Verdana"/>
          <w:color w:val="000000"/>
          <w:sz w:val="18"/>
          <w:szCs w:val="18"/>
          <w:lang w:val="en-GB"/>
        </w:rPr>
        <w:t>the identification of trends and patterns in the field of social</w:t>
      </w:r>
      <w:r>
        <w:rPr>
          <w:rFonts w:ascii="Verdana" w:hAnsi="Verdana"/>
          <w:sz w:val="18"/>
          <w:szCs w:val="18"/>
          <w:lang w:val="en-GB"/>
        </w:rPr>
        <w:t xml:space="preserve"> safety and undesirable conduct, as well as systematic shortcomings in legislation and regulations or the organisational implementation </w:t>
      </w:r>
      <w:proofErr w:type="gramStart"/>
      <w:r>
        <w:rPr>
          <w:rFonts w:ascii="Verdana" w:hAnsi="Verdana"/>
          <w:sz w:val="18"/>
          <w:szCs w:val="18"/>
          <w:lang w:val="en-GB"/>
        </w:rPr>
        <w:t>thereof;</w:t>
      </w:r>
      <w:proofErr w:type="gramEnd"/>
    </w:p>
    <w:p w14:paraId="6B7ADBAA" w14:textId="7031A401" w:rsidR="00B9611B" w:rsidRPr="00897AC5" w:rsidRDefault="00B9611B" w:rsidP="001661B4">
      <w:pPr>
        <w:pStyle w:val="Lijstalinea"/>
        <w:numPr>
          <w:ilvl w:val="1"/>
          <w:numId w:val="5"/>
        </w:numPr>
        <w:tabs>
          <w:tab w:val="left" w:pos="544"/>
        </w:tabs>
        <w:spacing w:line="276" w:lineRule="auto"/>
        <w:ind w:right="276"/>
        <w:rPr>
          <w:rFonts w:ascii="Verdana" w:hAnsi="Verdana" w:cs="Arial"/>
          <w:color w:val="000000"/>
          <w:sz w:val="18"/>
          <w:szCs w:val="18"/>
          <w:lang w:val="en-US"/>
        </w:rPr>
      </w:pPr>
      <w:r>
        <w:rPr>
          <w:rFonts w:ascii="Verdana" w:hAnsi="Verdana"/>
          <w:sz w:val="18"/>
          <w:szCs w:val="18"/>
          <w:lang w:val="en-GB"/>
        </w:rPr>
        <w:t xml:space="preserve">advise the Executive Board and managers who are in the position to act on key structural issues, observed patterns, trends or systematic </w:t>
      </w:r>
      <w:proofErr w:type="gramStart"/>
      <w:r>
        <w:rPr>
          <w:rFonts w:ascii="Verdana" w:hAnsi="Verdana"/>
          <w:sz w:val="18"/>
          <w:szCs w:val="18"/>
          <w:lang w:val="en-GB"/>
        </w:rPr>
        <w:t>shortcomings;</w:t>
      </w:r>
      <w:proofErr w:type="gramEnd"/>
    </w:p>
    <w:p w14:paraId="440D09BC" w14:textId="496F4664" w:rsidR="00B9611B" w:rsidRPr="00897AC5" w:rsidRDefault="00B9611B" w:rsidP="001661B4">
      <w:pPr>
        <w:pStyle w:val="Lijstalinea"/>
        <w:numPr>
          <w:ilvl w:val="1"/>
          <w:numId w:val="5"/>
        </w:numPr>
        <w:tabs>
          <w:tab w:val="left" w:pos="544"/>
        </w:tabs>
        <w:spacing w:line="276" w:lineRule="auto"/>
        <w:ind w:right="276"/>
        <w:rPr>
          <w:rFonts w:ascii="Verdana" w:hAnsi="Verdana" w:cs="Arial"/>
          <w:color w:val="000000"/>
          <w:sz w:val="18"/>
          <w:szCs w:val="18"/>
          <w:lang w:val="en-US"/>
        </w:rPr>
      </w:pPr>
      <w:r>
        <w:rPr>
          <w:rFonts w:ascii="Verdana" w:hAnsi="Verdana"/>
          <w:sz w:val="18"/>
          <w:szCs w:val="18"/>
          <w:lang w:val="en-GB"/>
        </w:rPr>
        <w:t xml:space="preserve">adequately refer or </w:t>
      </w:r>
      <w:proofErr w:type="spellStart"/>
      <w:r>
        <w:rPr>
          <w:rFonts w:ascii="Verdana" w:hAnsi="Verdana"/>
          <w:sz w:val="18"/>
          <w:szCs w:val="18"/>
          <w:lang w:val="en-GB"/>
        </w:rPr>
        <w:t>feed back</w:t>
      </w:r>
      <w:proofErr w:type="spellEnd"/>
      <w:r>
        <w:rPr>
          <w:rFonts w:ascii="Verdana" w:hAnsi="Verdana"/>
          <w:sz w:val="18"/>
          <w:szCs w:val="18"/>
          <w:lang w:val="en-GB"/>
        </w:rPr>
        <w:t xml:space="preserve"> to appropriate bodies – such as confidential counsellors or complaints committees – primarily within WUR, but outside the university too, if </w:t>
      </w:r>
      <w:proofErr w:type="gramStart"/>
      <w:r>
        <w:rPr>
          <w:rFonts w:ascii="Verdana" w:hAnsi="Verdana"/>
          <w:sz w:val="18"/>
          <w:szCs w:val="18"/>
          <w:lang w:val="en-GB"/>
        </w:rPr>
        <w:t>necessary;</w:t>
      </w:r>
      <w:proofErr w:type="gramEnd"/>
    </w:p>
    <w:p w14:paraId="3AC00F4C" w14:textId="7517BA43" w:rsidR="00362DE6" w:rsidRPr="00897AC5" w:rsidRDefault="00B9611B" w:rsidP="00362DE6">
      <w:pPr>
        <w:pStyle w:val="Lijstalinea"/>
        <w:numPr>
          <w:ilvl w:val="1"/>
          <w:numId w:val="5"/>
        </w:numPr>
        <w:tabs>
          <w:tab w:val="left" w:pos="544"/>
        </w:tabs>
        <w:spacing w:line="276" w:lineRule="auto"/>
        <w:ind w:right="276"/>
        <w:rPr>
          <w:rFonts w:ascii="Verdana" w:hAnsi="Verdana" w:cs="Arial"/>
          <w:color w:val="000000"/>
          <w:sz w:val="18"/>
          <w:szCs w:val="18"/>
          <w:lang w:val="en-US"/>
        </w:rPr>
      </w:pPr>
      <w:r>
        <w:rPr>
          <w:rFonts w:ascii="Verdana" w:hAnsi="Verdana"/>
          <w:sz w:val="18"/>
          <w:szCs w:val="18"/>
          <w:lang w:val="en-GB"/>
        </w:rPr>
        <w:t xml:space="preserve">conduct investigations (whether of their own initiative or not) and make recommendations based on </w:t>
      </w:r>
      <w:proofErr w:type="gramStart"/>
      <w:r>
        <w:rPr>
          <w:rFonts w:ascii="Verdana" w:hAnsi="Verdana"/>
          <w:sz w:val="18"/>
          <w:szCs w:val="18"/>
          <w:lang w:val="en-GB"/>
        </w:rPr>
        <w:t>these;</w:t>
      </w:r>
      <w:proofErr w:type="gramEnd"/>
    </w:p>
    <w:p w14:paraId="56D162F6" w14:textId="249DC7F7" w:rsidR="00362DE6" w:rsidRPr="00897AC5" w:rsidRDefault="00362DE6" w:rsidP="00362DE6">
      <w:pPr>
        <w:pStyle w:val="Lijstalinea"/>
        <w:numPr>
          <w:ilvl w:val="1"/>
          <w:numId w:val="5"/>
        </w:numPr>
        <w:tabs>
          <w:tab w:val="left" w:pos="544"/>
        </w:tabs>
        <w:spacing w:line="276" w:lineRule="auto"/>
        <w:ind w:right="276"/>
        <w:rPr>
          <w:rFonts w:ascii="Verdana" w:hAnsi="Verdana" w:cs="Arial"/>
          <w:color w:val="000000"/>
          <w:sz w:val="18"/>
          <w:szCs w:val="18"/>
          <w:lang w:val="en-US"/>
        </w:rPr>
      </w:pPr>
      <w:r>
        <w:rPr>
          <w:rFonts w:ascii="Verdana" w:hAnsi="Verdana"/>
          <w:sz w:val="18"/>
          <w:szCs w:val="18"/>
          <w:lang w:val="en-GB"/>
        </w:rPr>
        <w:t xml:space="preserve">act as an independent intermediary with the aim of clarifying </w:t>
      </w:r>
      <w:proofErr w:type="gramStart"/>
      <w:r>
        <w:rPr>
          <w:rFonts w:ascii="Verdana" w:hAnsi="Verdana"/>
          <w:sz w:val="18"/>
          <w:szCs w:val="18"/>
          <w:lang w:val="en-GB"/>
        </w:rPr>
        <w:t>issues;</w:t>
      </w:r>
      <w:proofErr w:type="gramEnd"/>
    </w:p>
    <w:p w14:paraId="6FB467A8" w14:textId="70921ECF" w:rsidR="00B9611B" w:rsidRPr="001661B4" w:rsidRDefault="00430180" w:rsidP="001661B4">
      <w:pPr>
        <w:pStyle w:val="Lijstalinea"/>
        <w:numPr>
          <w:ilvl w:val="1"/>
          <w:numId w:val="5"/>
        </w:numPr>
        <w:tabs>
          <w:tab w:val="left" w:pos="544"/>
        </w:tabs>
        <w:spacing w:line="276" w:lineRule="auto"/>
        <w:ind w:right="276"/>
        <w:rPr>
          <w:rFonts w:ascii="Verdana" w:hAnsi="Verdana" w:cs="Arial"/>
          <w:color w:val="000000"/>
          <w:sz w:val="18"/>
          <w:szCs w:val="18"/>
        </w:rPr>
      </w:pPr>
      <w:r>
        <w:rPr>
          <w:rFonts w:ascii="Verdana" w:hAnsi="Verdana"/>
          <w:sz w:val="18"/>
          <w:szCs w:val="18"/>
          <w:lang w:val="en-GB"/>
        </w:rPr>
        <w:t xml:space="preserve">intermediate in conversations with the aim of getting the parties to talk to each other again within appropriate organisational structures. If necessary, the ombudsperson can advise the use of an (external) mediator. The ombudsperson does not act as a mediator </w:t>
      </w:r>
      <w:proofErr w:type="gramStart"/>
      <w:r>
        <w:rPr>
          <w:rFonts w:ascii="Verdana" w:hAnsi="Verdana"/>
          <w:sz w:val="18"/>
          <w:szCs w:val="18"/>
          <w:lang w:val="en-GB"/>
        </w:rPr>
        <w:t>themselves;</w:t>
      </w:r>
      <w:proofErr w:type="gramEnd"/>
    </w:p>
    <w:p w14:paraId="08F9658A" w14:textId="77777777" w:rsidR="00B9611B" w:rsidRPr="00897AC5" w:rsidRDefault="00B9611B" w:rsidP="001661B4">
      <w:pPr>
        <w:pStyle w:val="Lijstalinea"/>
        <w:numPr>
          <w:ilvl w:val="1"/>
          <w:numId w:val="5"/>
        </w:numPr>
        <w:tabs>
          <w:tab w:val="left" w:pos="544"/>
        </w:tabs>
        <w:spacing w:line="276" w:lineRule="auto"/>
        <w:ind w:right="276"/>
        <w:rPr>
          <w:rFonts w:ascii="Verdana" w:hAnsi="Verdana" w:cs="Arial"/>
          <w:color w:val="000000"/>
          <w:sz w:val="18"/>
          <w:szCs w:val="18"/>
          <w:lang w:val="en-US"/>
        </w:rPr>
      </w:pPr>
      <w:r>
        <w:rPr>
          <w:rFonts w:ascii="Verdana" w:hAnsi="Verdana"/>
          <w:sz w:val="18"/>
          <w:szCs w:val="18"/>
          <w:lang w:val="en-GB"/>
        </w:rPr>
        <w:t xml:space="preserve">publish and report observations and </w:t>
      </w:r>
      <w:proofErr w:type="gramStart"/>
      <w:r>
        <w:rPr>
          <w:rFonts w:ascii="Verdana" w:hAnsi="Verdana"/>
          <w:sz w:val="18"/>
          <w:szCs w:val="18"/>
          <w:lang w:val="en-GB"/>
        </w:rPr>
        <w:t>findings;</w:t>
      </w:r>
      <w:proofErr w:type="gramEnd"/>
    </w:p>
    <w:p w14:paraId="5C12EEEC" w14:textId="62B91155" w:rsidR="00B9611B" w:rsidRPr="00897AC5" w:rsidRDefault="00B9611B" w:rsidP="001661B4">
      <w:pPr>
        <w:pStyle w:val="Lijstalinea"/>
        <w:numPr>
          <w:ilvl w:val="1"/>
          <w:numId w:val="5"/>
        </w:numPr>
        <w:tabs>
          <w:tab w:val="left" w:pos="544"/>
        </w:tabs>
        <w:spacing w:line="276" w:lineRule="auto"/>
        <w:ind w:right="276"/>
        <w:rPr>
          <w:rFonts w:ascii="Verdana" w:hAnsi="Verdana" w:cs="Arial"/>
          <w:color w:val="000000"/>
          <w:sz w:val="18"/>
          <w:szCs w:val="18"/>
          <w:lang w:val="en-US"/>
        </w:rPr>
      </w:pPr>
      <w:r>
        <w:rPr>
          <w:rFonts w:ascii="Verdana" w:hAnsi="Verdana"/>
          <w:sz w:val="18"/>
          <w:szCs w:val="18"/>
          <w:lang w:val="en-GB"/>
        </w:rPr>
        <w:t>draw up an annual (public) report.</w:t>
      </w:r>
    </w:p>
    <w:p w14:paraId="70DADE8A" w14:textId="77777777" w:rsidR="00B9611B" w:rsidRPr="00897AC5" w:rsidRDefault="00B9611B" w:rsidP="001661B4">
      <w:pPr>
        <w:pStyle w:val="Lijstalinea"/>
        <w:tabs>
          <w:tab w:val="left" w:pos="544"/>
        </w:tabs>
        <w:spacing w:line="276" w:lineRule="auto"/>
        <w:ind w:left="1080" w:right="276"/>
        <w:rPr>
          <w:rFonts w:ascii="Verdana" w:hAnsi="Verdana" w:cs="Arial"/>
          <w:color w:val="000000"/>
          <w:sz w:val="18"/>
          <w:szCs w:val="18"/>
          <w:lang w:val="en-US"/>
        </w:rPr>
      </w:pPr>
    </w:p>
    <w:p w14:paraId="0B2C7348" w14:textId="77777777" w:rsidR="000C336C" w:rsidRPr="00897AC5" w:rsidRDefault="000C336C" w:rsidP="001661B4">
      <w:pPr>
        <w:spacing w:line="276" w:lineRule="auto"/>
        <w:rPr>
          <w:rFonts w:ascii="Verdana" w:hAnsi="Verdana" w:cs="Arial"/>
          <w:color w:val="000000"/>
          <w:sz w:val="18"/>
          <w:szCs w:val="18"/>
          <w:lang w:val="en-US"/>
        </w:rPr>
      </w:pPr>
    </w:p>
    <w:p w14:paraId="320C0323" w14:textId="526C71E0" w:rsidR="00DD3E75" w:rsidRPr="00897AC5" w:rsidRDefault="00B9611B" w:rsidP="001661B4">
      <w:pPr>
        <w:pStyle w:val="Lijstalinea"/>
        <w:numPr>
          <w:ilvl w:val="0"/>
          <w:numId w:val="5"/>
        </w:numPr>
        <w:autoSpaceDE w:val="0"/>
        <w:autoSpaceDN w:val="0"/>
        <w:adjustRightInd w:val="0"/>
        <w:spacing w:line="276" w:lineRule="auto"/>
        <w:rPr>
          <w:rFonts w:ascii="Verdana" w:hAnsi="Verdana" w:cs="Arial"/>
          <w:color w:val="000000"/>
          <w:sz w:val="18"/>
          <w:szCs w:val="18"/>
          <w:lang w:val="en-US"/>
        </w:rPr>
      </w:pPr>
      <w:r>
        <w:rPr>
          <w:rFonts w:ascii="Verdana" w:hAnsi="Verdana" w:cs="Arial"/>
          <w:color w:val="000000"/>
          <w:sz w:val="18"/>
          <w:szCs w:val="18"/>
          <w:lang w:val="en-GB"/>
        </w:rPr>
        <w:t>The ombudsperson’s advice is not binding.</w:t>
      </w:r>
    </w:p>
    <w:p w14:paraId="1BD7848E" w14:textId="3F9D7EDF" w:rsidR="00C136D5" w:rsidRDefault="00C136D5" w:rsidP="001661B4">
      <w:pPr>
        <w:autoSpaceDE w:val="0"/>
        <w:autoSpaceDN w:val="0"/>
        <w:adjustRightInd w:val="0"/>
        <w:spacing w:line="276" w:lineRule="auto"/>
        <w:rPr>
          <w:rFonts w:ascii="Verdana" w:hAnsi="Verdana" w:cs="Arial"/>
          <w:color w:val="000000"/>
          <w:sz w:val="18"/>
          <w:szCs w:val="18"/>
          <w:lang w:val="en-US"/>
        </w:rPr>
      </w:pPr>
    </w:p>
    <w:p w14:paraId="181907A2" w14:textId="1346846E" w:rsidR="00897AC5" w:rsidRDefault="00897AC5" w:rsidP="001661B4">
      <w:pPr>
        <w:autoSpaceDE w:val="0"/>
        <w:autoSpaceDN w:val="0"/>
        <w:adjustRightInd w:val="0"/>
        <w:spacing w:line="276" w:lineRule="auto"/>
        <w:rPr>
          <w:rFonts w:ascii="Verdana" w:hAnsi="Verdana" w:cs="Arial"/>
          <w:color w:val="000000"/>
          <w:sz w:val="18"/>
          <w:szCs w:val="18"/>
          <w:lang w:val="en-US"/>
        </w:rPr>
      </w:pPr>
    </w:p>
    <w:p w14:paraId="13533ABE" w14:textId="77777777" w:rsidR="00897AC5" w:rsidRPr="00897AC5" w:rsidRDefault="00897AC5" w:rsidP="001661B4">
      <w:pPr>
        <w:autoSpaceDE w:val="0"/>
        <w:autoSpaceDN w:val="0"/>
        <w:adjustRightInd w:val="0"/>
        <w:spacing w:line="276" w:lineRule="auto"/>
        <w:rPr>
          <w:rFonts w:ascii="Verdana" w:hAnsi="Verdana" w:cs="Arial"/>
          <w:color w:val="000000"/>
          <w:sz w:val="18"/>
          <w:szCs w:val="18"/>
          <w:lang w:val="en-US"/>
        </w:rPr>
      </w:pPr>
    </w:p>
    <w:p w14:paraId="1425F76C" w14:textId="72249F38" w:rsidR="0047332B" w:rsidRPr="00825D3C" w:rsidRDefault="000C336C" w:rsidP="00825D3C">
      <w:pPr>
        <w:pStyle w:val="Kop1"/>
        <w:rPr>
          <w:rFonts w:ascii="Verdana" w:hAnsi="Verdana"/>
          <w:sz w:val="24"/>
          <w:szCs w:val="24"/>
        </w:rPr>
      </w:pPr>
      <w:bookmarkStart w:id="4" w:name="_Toc82534036"/>
      <w:r>
        <w:rPr>
          <w:rFonts w:ascii="Verdana" w:hAnsi="Verdana"/>
          <w:sz w:val="24"/>
          <w:szCs w:val="24"/>
          <w:lang w:val="en-GB"/>
        </w:rPr>
        <w:t>Article 4 – Report</w:t>
      </w:r>
      <w:bookmarkEnd w:id="4"/>
      <w:r>
        <w:rPr>
          <w:rFonts w:ascii="Verdana" w:hAnsi="Verdana"/>
          <w:sz w:val="24"/>
          <w:szCs w:val="24"/>
          <w:lang w:val="en-GB"/>
        </w:rPr>
        <w:t xml:space="preserve"> </w:t>
      </w:r>
    </w:p>
    <w:p w14:paraId="6ADADA00" w14:textId="69E404B8" w:rsidR="009568EA" w:rsidRPr="00897AC5" w:rsidRDefault="000C336C" w:rsidP="007E0B52">
      <w:pPr>
        <w:pStyle w:val="Plattetekst"/>
        <w:numPr>
          <w:ilvl w:val="0"/>
          <w:numId w:val="8"/>
        </w:numPr>
        <w:spacing w:line="276" w:lineRule="auto"/>
        <w:ind w:right="291"/>
        <w:rPr>
          <w:rFonts w:ascii="Verdana" w:hAnsi="Verdana"/>
          <w:sz w:val="18"/>
          <w:szCs w:val="18"/>
          <w:lang w:val="en-US"/>
        </w:rPr>
      </w:pPr>
      <w:r>
        <w:rPr>
          <w:rFonts w:ascii="Verdana" w:hAnsi="Verdana"/>
          <w:sz w:val="18"/>
          <w:szCs w:val="18"/>
          <w:lang w:val="en-GB"/>
        </w:rPr>
        <w:t xml:space="preserve">Every employee and/or student can make an appointment for a report or mediation. </w:t>
      </w:r>
    </w:p>
    <w:p w14:paraId="6B9604F2" w14:textId="77777777" w:rsidR="00D8224B" w:rsidRPr="00897AC5" w:rsidRDefault="00D8224B" w:rsidP="00D8224B">
      <w:pPr>
        <w:pStyle w:val="Plattetekst"/>
        <w:spacing w:line="276" w:lineRule="auto"/>
        <w:ind w:left="360" w:right="291"/>
        <w:rPr>
          <w:rFonts w:ascii="Verdana" w:hAnsi="Verdana"/>
          <w:sz w:val="18"/>
          <w:szCs w:val="18"/>
          <w:lang w:val="en-US"/>
        </w:rPr>
      </w:pPr>
    </w:p>
    <w:p w14:paraId="475CBAA4" w14:textId="282CD048" w:rsidR="00BB2F52" w:rsidRPr="00C13975" w:rsidRDefault="00BB2F52" w:rsidP="001661B4">
      <w:pPr>
        <w:pStyle w:val="Plattetekst"/>
        <w:numPr>
          <w:ilvl w:val="0"/>
          <w:numId w:val="8"/>
        </w:numPr>
        <w:spacing w:line="276" w:lineRule="auto"/>
        <w:ind w:right="291"/>
        <w:rPr>
          <w:rFonts w:ascii="Verdana" w:hAnsi="Verdana"/>
          <w:sz w:val="18"/>
          <w:szCs w:val="18"/>
        </w:rPr>
      </w:pPr>
      <w:r>
        <w:rPr>
          <w:rFonts w:ascii="Verdana" w:hAnsi="Verdana"/>
          <w:sz w:val="18"/>
          <w:szCs w:val="18"/>
          <w:lang w:val="en-GB"/>
        </w:rPr>
        <w:t xml:space="preserve">Reports may concern social insecurity and the </w:t>
      </w:r>
      <w:proofErr w:type="gramStart"/>
      <w:r>
        <w:rPr>
          <w:rFonts w:ascii="Verdana" w:hAnsi="Verdana"/>
          <w:sz w:val="18"/>
          <w:szCs w:val="18"/>
          <w:lang w:val="en-GB"/>
        </w:rPr>
        <w:t>manner in which</w:t>
      </w:r>
      <w:proofErr w:type="gramEnd"/>
      <w:r>
        <w:rPr>
          <w:rFonts w:ascii="Verdana" w:hAnsi="Verdana"/>
          <w:sz w:val="18"/>
          <w:szCs w:val="18"/>
          <w:lang w:val="en-GB"/>
        </w:rPr>
        <w:t xml:space="preserve"> the organisation, or person within the organisation, has behaved undesirably towards the reporting parties. Reports have no formal structure. </w:t>
      </w:r>
    </w:p>
    <w:p w14:paraId="0D955F4B" w14:textId="77777777" w:rsidR="00BB2F52" w:rsidRPr="001661B4" w:rsidRDefault="00BB2F52" w:rsidP="001661B4">
      <w:pPr>
        <w:pStyle w:val="Plattetekst"/>
        <w:spacing w:line="276" w:lineRule="auto"/>
        <w:ind w:left="360" w:right="291"/>
        <w:rPr>
          <w:rFonts w:ascii="Verdana" w:hAnsi="Verdana"/>
          <w:sz w:val="18"/>
          <w:szCs w:val="18"/>
        </w:rPr>
      </w:pPr>
    </w:p>
    <w:p w14:paraId="50AFBC13" w14:textId="2C7ECE39" w:rsidR="00A50DA3" w:rsidRPr="00897AC5" w:rsidRDefault="00BB2F52" w:rsidP="00A50DA3">
      <w:pPr>
        <w:pStyle w:val="Plattetekst"/>
        <w:numPr>
          <w:ilvl w:val="0"/>
          <w:numId w:val="8"/>
        </w:numPr>
        <w:spacing w:line="276" w:lineRule="auto"/>
        <w:ind w:right="291"/>
        <w:rPr>
          <w:rFonts w:ascii="Verdana" w:hAnsi="Verdana"/>
          <w:sz w:val="18"/>
          <w:szCs w:val="18"/>
          <w:lang w:val="en-US"/>
        </w:rPr>
      </w:pPr>
      <w:r>
        <w:rPr>
          <w:rFonts w:ascii="Verdana" w:hAnsi="Verdana"/>
          <w:sz w:val="18"/>
          <w:szCs w:val="18"/>
          <w:lang w:val="en-GB"/>
        </w:rPr>
        <w:t>Reports cannot be submitted anonymously. If the reporting party so requests, reports can be handled anonymously by the ombudsperson after submission. The reason(s) for a report and/or mediation will be described anonymously in the report.</w:t>
      </w:r>
    </w:p>
    <w:p w14:paraId="5E67BE66" w14:textId="77777777" w:rsidR="00D429A6" w:rsidRPr="00897AC5" w:rsidRDefault="00D429A6" w:rsidP="00D429A6">
      <w:pPr>
        <w:pStyle w:val="Lijstalinea"/>
        <w:rPr>
          <w:rFonts w:ascii="Verdana" w:hAnsi="Verdana"/>
          <w:sz w:val="18"/>
          <w:szCs w:val="18"/>
          <w:lang w:val="en-US"/>
        </w:rPr>
      </w:pPr>
    </w:p>
    <w:p w14:paraId="2D54949A" w14:textId="43CA5139" w:rsidR="00A104E2" w:rsidRPr="00897AC5" w:rsidRDefault="00D429A6" w:rsidP="00D429A6">
      <w:pPr>
        <w:pStyle w:val="Plattetekst"/>
        <w:numPr>
          <w:ilvl w:val="0"/>
          <w:numId w:val="8"/>
        </w:numPr>
        <w:spacing w:line="276" w:lineRule="auto"/>
        <w:ind w:right="291"/>
        <w:rPr>
          <w:rFonts w:ascii="Verdana" w:hAnsi="Verdana"/>
          <w:sz w:val="18"/>
          <w:szCs w:val="18"/>
          <w:lang w:val="en-US"/>
        </w:rPr>
      </w:pPr>
      <w:r>
        <w:rPr>
          <w:rFonts w:ascii="Verdana" w:hAnsi="Verdana"/>
          <w:sz w:val="18"/>
          <w:szCs w:val="18"/>
          <w:lang w:val="en-GB"/>
        </w:rPr>
        <w:t>The ombudsperson is independent and has no commissioning party. This means that it is up to the ombudsperson to decide whether a report can be processed. In any case, the ombudsperson will not be able to deal with/investigate reports:</w:t>
      </w:r>
    </w:p>
    <w:p w14:paraId="664B5416" w14:textId="6BA7652E" w:rsidR="00A104E2" w:rsidRPr="00897AC5" w:rsidRDefault="00577285" w:rsidP="00577285">
      <w:pPr>
        <w:pStyle w:val="Plattetekst"/>
        <w:numPr>
          <w:ilvl w:val="1"/>
          <w:numId w:val="8"/>
        </w:numPr>
        <w:spacing w:line="276" w:lineRule="auto"/>
        <w:ind w:right="291" w:hanging="654"/>
        <w:rPr>
          <w:rFonts w:ascii="Verdana" w:hAnsi="Verdana"/>
          <w:sz w:val="18"/>
          <w:szCs w:val="18"/>
          <w:lang w:val="en-US"/>
        </w:rPr>
      </w:pPr>
      <w:r>
        <w:rPr>
          <w:rFonts w:ascii="Verdana" w:hAnsi="Verdana"/>
          <w:sz w:val="18"/>
          <w:szCs w:val="18"/>
          <w:lang w:val="en-GB"/>
        </w:rPr>
        <w:t xml:space="preserve">if the report relates to conduct that the reporting party has already reported, or for which disputes/complaints/objections/appeals procedures are available and the reporting party currently uses, or has used, the procedure. In such cases, the reporting party must report this at </w:t>
      </w:r>
      <w:proofErr w:type="gramStart"/>
      <w:r>
        <w:rPr>
          <w:rFonts w:ascii="Verdana" w:hAnsi="Verdana"/>
          <w:sz w:val="18"/>
          <w:szCs w:val="18"/>
          <w:lang w:val="en-GB"/>
        </w:rPr>
        <w:t>once;</w:t>
      </w:r>
      <w:proofErr w:type="gramEnd"/>
    </w:p>
    <w:p w14:paraId="78FE9DDC" w14:textId="04CE3D08" w:rsidR="00A104E2" w:rsidRPr="00897AC5" w:rsidRDefault="00161618" w:rsidP="001661B4">
      <w:pPr>
        <w:pStyle w:val="Plattetekst"/>
        <w:numPr>
          <w:ilvl w:val="1"/>
          <w:numId w:val="8"/>
        </w:numPr>
        <w:spacing w:line="276" w:lineRule="auto"/>
        <w:ind w:right="291" w:hanging="654"/>
        <w:rPr>
          <w:rFonts w:ascii="Verdana" w:hAnsi="Verdana"/>
          <w:sz w:val="18"/>
          <w:szCs w:val="18"/>
          <w:lang w:val="en-US"/>
        </w:rPr>
      </w:pPr>
      <w:r>
        <w:rPr>
          <w:rFonts w:ascii="Verdana" w:hAnsi="Verdana"/>
          <w:sz w:val="18"/>
          <w:szCs w:val="18"/>
          <w:lang w:val="en-GB"/>
        </w:rPr>
        <w:t xml:space="preserve">if the report relates to conduct that is, or has been, subject to proceedings before a court of </w:t>
      </w:r>
      <w:proofErr w:type="gramStart"/>
      <w:r>
        <w:rPr>
          <w:rFonts w:ascii="Verdana" w:hAnsi="Verdana"/>
          <w:sz w:val="18"/>
          <w:szCs w:val="18"/>
          <w:lang w:val="en-GB"/>
        </w:rPr>
        <w:t>law;</w:t>
      </w:r>
      <w:proofErr w:type="gramEnd"/>
      <w:r>
        <w:rPr>
          <w:rFonts w:ascii="Verdana" w:hAnsi="Verdana"/>
          <w:sz w:val="18"/>
          <w:szCs w:val="18"/>
          <w:lang w:val="en-GB"/>
        </w:rPr>
        <w:t xml:space="preserve"> </w:t>
      </w:r>
    </w:p>
    <w:p w14:paraId="56D6AAF9" w14:textId="0DBB57D3" w:rsidR="000C336C" w:rsidRPr="00897AC5" w:rsidRDefault="000C336C" w:rsidP="001661B4">
      <w:pPr>
        <w:pStyle w:val="Plattetekst"/>
        <w:numPr>
          <w:ilvl w:val="1"/>
          <w:numId w:val="8"/>
        </w:numPr>
        <w:spacing w:line="276" w:lineRule="auto"/>
        <w:ind w:right="291" w:hanging="654"/>
        <w:rPr>
          <w:rFonts w:ascii="Verdana" w:hAnsi="Verdana"/>
          <w:sz w:val="18"/>
          <w:szCs w:val="18"/>
          <w:lang w:val="en-US"/>
        </w:rPr>
      </w:pPr>
      <w:r>
        <w:rPr>
          <w:rFonts w:ascii="Verdana" w:hAnsi="Verdana"/>
          <w:sz w:val="18"/>
          <w:szCs w:val="18"/>
          <w:lang w:val="en-GB"/>
        </w:rPr>
        <w:t xml:space="preserve">as long as an investigation into a report or prosecution by order of the public prosecutor is ongoing, or if the conduct is part of the investigation or prosecution of a criminal offence and an investigation into that offence or prosecution by order of the public prosecutor is </w:t>
      </w:r>
      <w:proofErr w:type="gramStart"/>
      <w:r>
        <w:rPr>
          <w:rFonts w:ascii="Verdana" w:hAnsi="Verdana"/>
          <w:sz w:val="18"/>
          <w:szCs w:val="18"/>
          <w:lang w:val="en-GB"/>
        </w:rPr>
        <w:t>ongoing;</w:t>
      </w:r>
      <w:proofErr w:type="gramEnd"/>
    </w:p>
    <w:p w14:paraId="27936429" w14:textId="10BAC4DE" w:rsidR="00161618" w:rsidRPr="00897AC5" w:rsidRDefault="00AD2DAB" w:rsidP="001661B4">
      <w:pPr>
        <w:pStyle w:val="Plattetekst"/>
        <w:numPr>
          <w:ilvl w:val="1"/>
          <w:numId w:val="8"/>
        </w:numPr>
        <w:spacing w:line="276" w:lineRule="auto"/>
        <w:ind w:right="291" w:hanging="654"/>
        <w:rPr>
          <w:rFonts w:ascii="Verdana" w:hAnsi="Verdana"/>
          <w:sz w:val="18"/>
          <w:szCs w:val="18"/>
          <w:lang w:val="en-US"/>
        </w:rPr>
      </w:pPr>
      <w:r>
        <w:rPr>
          <w:rFonts w:ascii="Verdana" w:hAnsi="Verdana"/>
          <w:sz w:val="18"/>
          <w:szCs w:val="18"/>
          <w:lang w:val="en-GB"/>
        </w:rPr>
        <w:t xml:space="preserve">the submitter’s interest or the interest involved in the report is insufficient in the ombudsperson's </w:t>
      </w:r>
      <w:proofErr w:type="gramStart"/>
      <w:r>
        <w:rPr>
          <w:rFonts w:ascii="Verdana" w:hAnsi="Verdana"/>
          <w:sz w:val="18"/>
          <w:szCs w:val="18"/>
          <w:lang w:val="en-GB"/>
        </w:rPr>
        <w:t>opinion;</w:t>
      </w:r>
      <w:proofErr w:type="gramEnd"/>
    </w:p>
    <w:p w14:paraId="045F4055" w14:textId="7BB05F50" w:rsidR="00161618" w:rsidRPr="00897AC5" w:rsidRDefault="00AD2DAB" w:rsidP="001661B4">
      <w:pPr>
        <w:pStyle w:val="Plattetekst"/>
        <w:numPr>
          <w:ilvl w:val="1"/>
          <w:numId w:val="8"/>
        </w:numPr>
        <w:spacing w:line="276" w:lineRule="auto"/>
        <w:ind w:right="291" w:hanging="654"/>
        <w:rPr>
          <w:rFonts w:ascii="Verdana" w:hAnsi="Verdana"/>
          <w:sz w:val="18"/>
          <w:szCs w:val="18"/>
          <w:lang w:val="en-US"/>
        </w:rPr>
      </w:pPr>
      <w:r>
        <w:rPr>
          <w:rFonts w:ascii="Verdana" w:hAnsi="Verdana"/>
          <w:sz w:val="18"/>
          <w:szCs w:val="18"/>
          <w:lang w:val="en-GB"/>
        </w:rPr>
        <w:t>in the ombudsperson's opinion, the report is not yet sufficiently justified.</w:t>
      </w:r>
    </w:p>
    <w:p w14:paraId="384567B0" w14:textId="6E08FB24" w:rsidR="00197011" w:rsidRPr="00897AC5" w:rsidRDefault="00197011" w:rsidP="00197011">
      <w:pPr>
        <w:pStyle w:val="Plattetekst"/>
        <w:spacing w:line="276" w:lineRule="auto"/>
        <w:ind w:left="0" w:right="291"/>
        <w:rPr>
          <w:rFonts w:ascii="Verdana" w:hAnsi="Verdana"/>
          <w:sz w:val="18"/>
          <w:szCs w:val="18"/>
          <w:highlight w:val="yellow"/>
          <w:lang w:val="en-US"/>
        </w:rPr>
      </w:pPr>
    </w:p>
    <w:p w14:paraId="760C6C51" w14:textId="3609AD16" w:rsidR="00577285" w:rsidRPr="00897AC5" w:rsidRDefault="00D429A6" w:rsidP="00577285">
      <w:pPr>
        <w:pStyle w:val="Lijstalinea"/>
        <w:numPr>
          <w:ilvl w:val="0"/>
          <w:numId w:val="8"/>
        </w:numPr>
        <w:autoSpaceDE w:val="0"/>
        <w:autoSpaceDN w:val="0"/>
        <w:adjustRightInd w:val="0"/>
        <w:spacing w:line="276" w:lineRule="auto"/>
        <w:rPr>
          <w:rFonts w:ascii="Verdana" w:hAnsi="Verdana" w:cs="Arial"/>
          <w:color w:val="000000"/>
          <w:sz w:val="18"/>
          <w:szCs w:val="18"/>
          <w:lang w:val="en-US"/>
        </w:rPr>
      </w:pPr>
      <w:r>
        <w:rPr>
          <w:rFonts w:ascii="Verdana" w:hAnsi="Verdana" w:cs="Arial"/>
          <w:color w:val="000000"/>
          <w:sz w:val="18"/>
          <w:szCs w:val="18"/>
          <w:lang w:val="en-GB"/>
        </w:rPr>
        <w:t xml:space="preserve">If the person making the report fails to report the existence of a situation – as referred to in paragraph 4, section A of this article – and, after processing the report, the ombudsperson learns that such a situation exists, the ombudsperson will discontinue the investigation or will cease their duties insofar as they have already started. </w:t>
      </w:r>
    </w:p>
    <w:p w14:paraId="69978D16" w14:textId="77777777" w:rsidR="00577285" w:rsidRPr="00897AC5" w:rsidRDefault="00577285" w:rsidP="00197011">
      <w:pPr>
        <w:pStyle w:val="Plattetekst"/>
        <w:spacing w:line="276" w:lineRule="auto"/>
        <w:ind w:left="0" w:right="291"/>
        <w:rPr>
          <w:rFonts w:ascii="Verdana" w:hAnsi="Verdana"/>
          <w:sz w:val="18"/>
          <w:szCs w:val="18"/>
          <w:highlight w:val="yellow"/>
          <w:lang w:val="en-US"/>
        </w:rPr>
      </w:pPr>
    </w:p>
    <w:p w14:paraId="770B1EC3" w14:textId="0F362BCC" w:rsidR="001661B4" w:rsidRPr="00897AC5" w:rsidRDefault="00197011" w:rsidP="00962EA1">
      <w:pPr>
        <w:pStyle w:val="Lijstalinea"/>
        <w:numPr>
          <w:ilvl w:val="0"/>
          <w:numId w:val="8"/>
        </w:numPr>
        <w:autoSpaceDE w:val="0"/>
        <w:autoSpaceDN w:val="0"/>
        <w:adjustRightInd w:val="0"/>
        <w:spacing w:line="276" w:lineRule="auto"/>
        <w:rPr>
          <w:rFonts w:ascii="Verdana" w:hAnsi="Verdana" w:cs="Arial"/>
          <w:color w:val="000000"/>
          <w:sz w:val="18"/>
          <w:szCs w:val="18"/>
          <w:lang w:val="en-US"/>
        </w:rPr>
      </w:pPr>
      <w:r>
        <w:rPr>
          <w:rFonts w:ascii="Verdana" w:hAnsi="Verdana" w:cs="Arial"/>
          <w:color w:val="000000"/>
          <w:sz w:val="18"/>
          <w:szCs w:val="18"/>
          <w:lang w:val="en-GB"/>
        </w:rPr>
        <w:t>The ombudsperson can also start an investigation at their own initiative, based on a collection of signals or reports received by themselves or other actors in the support structure, for example.</w:t>
      </w:r>
    </w:p>
    <w:p w14:paraId="2C3ADDD8" w14:textId="7C75F5D2" w:rsidR="00577285" w:rsidRPr="00897AC5" w:rsidRDefault="00577285" w:rsidP="00577285">
      <w:pPr>
        <w:autoSpaceDE w:val="0"/>
        <w:autoSpaceDN w:val="0"/>
        <w:adjustRightInd w:val="0"/>
        <w:spacing w:line="276" w:lineRule="auto"/>
        <w:rPr>
          <w:rFonts w:ascii="Verdana" w:hAnsi="Verdana" w:cs="Arial"/>
          <w:color w:val="000000"/>
          <w:sz w:val="18"/>
          <w:szCs w:val="18"/>
          <w:lang w:val="en-US"/>
        </w:rPr>
      </w:pPr>
    </w:p>
    <w:p w14:paraId="54646DF4" w14:textId="7937BE8A" w:rsidR="00577285" w:rsidRPr="00897AC5" w:rsidRDefault="001F4A0E" w:rsidP="00577285">
      <w:pPr>
        <w:pStyle w:val="Kop1"/>
        <w:rPr>
          <w:rFonts w:ascii="Verdana" w:hAnsi="Verdana"/>
          <w:sz w:val="24"/>
          <w:szCs w:val="24"/>
          <w:lang w:val="en-US"/>
        </w:rPr>
      </w:pPr>
      <w:bookmarkStart w:id="5" w:name="_Toc82534037"/>
      <w:r>
        <w:rPr>
          <w:rFonts w:ascii="Verdana" w:hAnsi="Verdana"/>
          <w:sz w:val="24"/>
          <w:szCs w:val="24"/>
          <w:lang w:val="en-GB"/>
        </w:rPr>
        <w:t xml:space="preserve">Article </w:t>
      </w:r>
      <w:r w:rsidR="00577285">
        <w:rPr>
          <w:rFonts w:ascii="Verdana" w:hAnsi="Verdana"/>
          <w:sz w:val="24"/>
          <w:szCs w:val="24"/>
          <w:lang w:val="en-GB"/>
        </w:rPr>
        <w:t>5 – Consultation</w:t>
      </w:r>
      <w:bookmarkEnd w:id="5"/>
    </w:p>
    <w:p w14:paraId="5B2E7DB5" w14:textId="21CF0C96" w:rsidR="00577285" w:rsidRPr="00897AC5" w:rsidRDefault="00577285" w:rsidP="00577285">
      <w:pPr>
        <w:autoSpaceDE w:val="0"/>
        <w:autoSpaceDN w:val="0"/>
        <w:adjustRightInd w:val="0"/>
        <w:spacing w:line="276" w:lineRule="auto"/>
        <w:rPr>
          <w:rFonts w:ascii="Verdana" w:hAnsi="Verdana" w:cs="Calibri"/>
          <w:color w:val="000000"/>
          <w:sz w:val="18"/>
          <w:szCs w:val="18"/>
          <w:lang w:val="en-US"/>
        </w:rPr>
      </w:pPr>
      <w:r>
        <w:rPr>
          <w:rFonts w:ascii="Verdana" w:hAnsi="Verdana" w:cs="Calibri"/>
          <w:color w:val="000000"/>
          <w:sz w:val="18"/>
          <w:szCs w:val="18"/>
          <w:lang w:val="en-GB"/>
        </w:rPr>
        <w:t xml:space="preserve">The ombudsperson, in response to a report, will consider the appropriate subsequent steps in a confidential consultation with the reporting party. The ombudsperson can advise the reporting party on how to handle the report </w:t>
      </w:r>
      <w:proofErr w:type="gramStart"/>
      <w:r>
        <w:rPr>
          <w:rFonts w:ascii="Verdana" w:hAnsi="Verdana" w:cs="Calibri"/>
          <w:color w:val="000000"/>
          <w:sz w:val="18"/>
          <w:szCs w:val="18"/>
          <w:lang w:val="en-GB"/>
        </w:rPr>
        <w:t>in order to</w:t>
      </w:r>
      <w:proofErr w:type="gramEnd"/>
      <w:r>
        <w:rPr>
          <w:rFonts w:ascii="Verdana" w:hAnsi="Verdana" w:cs="Calibri"/>
          <w:color w:val="000000"/>
          <w:sz w:val="18"/>
          <w:szCs w:val="18"/>
          <w:lang w:val="en-GB"/>
        </w:rPr>
        <w:t xml:space="preserve"> find a solution on their own. The ombudsperson can act as a facilitator or an intermediary. The ombudsperson is not a legal mediator and will – if there is a need for mediation – refer to an external mediator.</w:t>
      </w:r>
    </w:p>
    <w:p w14:paraId="0312D687" w14:textId="77777777" w:rsidR="00577285" w:rsidRPr="00897AC5" w:rsidRDefault="00577285" w:rsidP="00577285">
      <w:pPr>
        <w:autoSpaceDE w:val="0"/>
        <w:autoSpaceDN w:val="0"/>
        <w:adjustRightInd w:val="0"/>
        <w:spacing w:line="276" w:lineRule="auto"/>
        <w:rPr>
          <w:rFonts w:ascii="Verdana" w:hAnsi="Verdana" w:cs="Arial"/>
          <w:color w:val="000000"/>
          <w:sz w:val="18"/>
          <w:szCs w:val="18"/>
          <w:lang w:val="en-US"/>
        </w:rPr>
      </w:pPr>
    </w:p>
    <w:p w14:paraId="24748330" w14:textId="165F2DC1" w:rsidR="00962EA1" w:rsidRPr="00962EA1" w:rsidRDefault="00962EA1" w:rsidP="00962EA1">
      <w:pPr>
        <w:pStyle w:val="Kop1"/>
        <w:rPr>
          <w:rFonts w:ascii="Verdana" w:hAnsi="Verdana"/>
          <w:sz w:val="24"/>
          <w:szCs w:val="24"/>
        </w:rPr>
      </w:pPr>
      <w:bookmarkStart w:id="6" w:name="_Toc82534038"/>
      <w:r>
        <w:rPr>
          <w:rFonts w:ascii="Verdana" w:hAnsi="Verdana"/>
          <w:sz w:val="24"/>
          <w:szCs w:val="24"/>
          <w:lang w:val="en-GB"/>
        </w:rPr>
        <w:t>Article 6 – The investigation report</w:t>
      </w:r>
      <w:bookmarkEnd w:id="6"/>
    </w:p>
    <w:p w14:paraId="48BA8DC7" w14:textId="755C9F63" w:rsidR="001661B4" w:rsidRPr="00897AC5" w:rsidRDefault="00A104E2" w:rsidP="001661B4">
      <w:pPr>
        <w:pStyle w:val="Lijstalinea"/>
        <w:numPr>
          <w:ilvl w:val="0"/>
          <w:numId w:val="15"/>
        </w:numPr>
        <w:autoSpaceDE w:val="0"/>
        <w:autoSpaceDN w:val="0"/>
        <w:adjustRightInd w:val="0"/>
        <w:spacing w:line="276" w:lineRule="auto"/>
        <w:rPr>
          <w:rFonts w:ascii="Verdana" w:hAnsi="Verdana" w:cs="Calibri"/>
          <w:color w:val="000000"/>
          <w:sz w:val="18"/>
          <w:szCs w:val="18"/>
          <w:lang w:val="en-US"/>
        </w:rPr>
      </w:pPr>
      <w:r>
        <w:rPr>
          <w:rFonts w:ascii="Verdana" w:hAnsi="Verdana" w:cs="Calibri"/>
          <w:color w:val="000000"/>
          <w:sz w:val="18"/>
          <w:szCs w:val="18"/>
          <w:lang w:val="en-GB"/>
        </w:rPr>
        <w:t xml:space="preserve">If a facilitating/intermediary conversation is not deemed useful, or if an attempt at it has not led to a solution, the ombudsperson gives the organisation, or the person whose conduct is the subject of the report, and the reporting party the opportunity to clarify their points of view in writing or orally, either in each other’s presence or not, at the ombudsperson’s discretion. </w:t>
      </w:r>
    </w:p>
    <w:p w14:paraId="37DDE1D6" w14:textId="77777777" w:rsidR="001661B4" w:rsidRPr="00897AC5" w:rsidRDefault="001661B4" w:rsidP="002D4A0C">
      <w:pPr>
        <w:rPr>
          <w:rFonts w:ascii="Verdana" w:hAnsi="Verdana"/>
          <w:sz w:val="18"/>
          <w:szCs w:val="18"/>
          <w:lang w:val="en-US"/>
        </w:rPr>
      </w:pPr>
    </w:p>
    <w:p w14:paraId="0ED8E899" w14:textId="5F409D66" w:rsidR="006133EB" w:rsidRPr="00897AC5" w:rsidRDefault="000C336C" w:rsidP="001661B4">
      <w:pPr>
        <w:pStyle w:val="Lijstalinea"/>
        <w:numPr>
          <w:ilvl w:val="0"/>
          <w:numId w:val="15"/>
        </w:numPr>
        <w:autoSpaceDE w:val="0"/>
        <w:autoSpaceDN w:val="0"/>
        <w:adjustRightInd w:val="0"/>
        <w:spacing w:line="276" w:lineRule="auto"/>
        <w:rPr>
          <w:rFonts w:ascii="Verdana" w:hAnsi="Verdana" w:cs="Calibri"/>
          <w:color w:val="000000"/>
          <w:sz w:val="18"/>
          <w:szCs w:val="18"/>
          <w:lang w:val="en-US"/>
        </w:rPr>
      </w:pPr>
      <w:r>
        <w:rPr>
          <w:rFonts w:ascii="Verdana" w:hAnsi="Verdana"/>
          <w:sz w:val="18"/>
          <w:szCs w:val="18"/>
          <w:lang w:val="en-GB"/>
        </w:rPr>
        <w:t>The ombudsperson may, if they deem it necessary for the assessment of the report, also give others (</w:t>
      </w:r>
      <w:proofErr w:type="gramStart"/>
      <w:r>
        <w:rPr>
          <w:rFonts w:ascii="Verdana" w:hAnsi="Verdana"/>
          <w:sz w:val="18"/>
          <w:szCs w:val="18"/>
          <w:lang w:val="en-GB"/>
        </w:rPr>
        <w:t>e.g.</w:t>
      </w:r>
      <w:proofErr w:type="gramEnd"/>
      <w:r>
        <w:rPr>
          <w:rFonts w:ascii="Verdana" w:hAnsi="Verdana"/>
          <w:sz w:val="18"/>
          <w:szCs w:val="18"/>
          <w:lang w:val="en-GB"/>
        </w:rPr>
        <w:t xml:space="preserve"> informants, witnesses) the opportunity to view the report and to make oral or written statements on it.</w:t>
      </w:r>
    </w:p>
    <w:p w14:paraId="325FEA55" w14:textId="77777777" w:rsidR="006133EB" w:rsidRPr="00897AC5" w:rsidRDefault="006133EB" w:rsidP="001661B4">
      <w:pPr>
        <w:pStyle w:val="Lijstalinea"/>
        <w:spacing w:line="276" w:lineRule="auto"/>
        <w:rPr>
          <w:rFonts w:ascii="Verdana" w:hAnsi="Verdana"/>
          <w:sz w:val="18"/>
          <w:szCs w:val="18"/>
          <w:lang w:val="en-US"/>
        </w:rPr>
      </w:pPr>
    </w:p>
    <w:p w14:paraId="72C7DF69" w14:textId="42EC784B" w:rsidR="006133EB" w:rsidRPr="00897AC5" w:rsidRDefault="000C336C" w:rsidP="001661B4">
      <w:pPr>
        <w:pStyle w:val="Lijstalinea"/>
        <w:numPr>
          <w:ilvl w:val="0"/>
          <w:numId w:val="15"/>
        </w:numPr>
        <w:autoSpaceDE w:val="0"/>
        <w:autoSpaceDN w:val="0"/>
        <w:adjustRightInd w:val="0"/>
        <w:spacing w:line="276" w:lineRule="auto"/>
        <w:rPr>
          <w:rFonts w:ascii="Verdana" w:hAnsi="Verdana" w:cs="Calibri"/>
          <w:color w:val="000000"/>
          <w:sz w:val="18"/>
          <w:szCs w:val="18"/>
          <w:lang w:val="en-US"/>
        </w:rPr>
      </w:pPr>
      <w:r>
        <w:rPr>
          <w:rFonts w:ascii="Verdana" w:hAnsi="Verdana"/>
          <w:sz w:val="18"/>
          <w:szCs w:val="18"/>
          <w:lang w:val="en-GB"/>
        </w:rPr>
        <w:t xml:space="preserve">The ombudsperson is authorised to request information from (management) bodies and officials within the organisation, to gain access to necessary ICT systems or to request and inspect documents (including relevant information from the personnel file) relating to the report. </w:t>
      </w:r>
    </w:p>
    <w:p w14:paraId="78D2C291" w14:textId="77777777" w:rsidR="006133EB" w:rsidRPr="00897AC5" w:rsidRDefault="006133EB" w:rsidP="001661B4">
      <w:pPr>
        <w:pStyle w:val="Lijstalinea"/>
        <w:spacing w:line="276" w:lineRule="auto"/>
        <w:rPr>
          <w:rFonts w:ascii="Verdana" w:hAnsi="Verdana"/>
          <w:sz w:val="18"/>
          <w:szCs w:val="18"/>
          <w:lang w:val="en-US"/>
        </w:rPr>
      </w:pPr>
    </w:p>
    <w:p w14:paraId="2E138DCE" w14:textId="3BA3A857" w:rsidR="006133EB" w:rsidRPr="00897AC5" w:rsidRDefault="00AA32AE" w:rsidP="001661B4">
      <w:pPr>
        <w:pStyle w:val="Lijstalinea"/>
        <w:numPr>
          <w:ilvl w:val="0"/>
          <w:numId w:val="15"/>
        </w:numPr>
        <w:autoSpaceDE w:val="0"/>
        <w:autoSpaceDN w:val="0"/>
        <w:adjustRightInd w:val="0"/>
        <w:spacing w:line="276" w:lineRule="auto"/>
        <w:rPr>
          <w:rFonts w:ascii="Verdana" w:hAnsi="Verdana" w:cs="Calibri"/>
          <w:color w:val="000000"/>
          <w:sz w:val="18"/>
          <w:szCs w:val="18"/>
          <w:lang w:val="en-US"/>
        </w:rPr>
      </w:pPr>
      <w:r>
        <w:rPr>
          <w:rFonts w:ascii="Verdana" w:hAnsi="Verdana"/>
          <w:sz w:val="18"/>
          <w:szCs w:val="18"/>
          <w:lang w:val="en-GB"/>
        </w:rPr>
        <w:t xml:space="preserve">Bodies and officials within the organisation are required to provide the statements requested in paragraph </w:t>
      </w:r>
      <w:r w:rsidR="005F2EE2">
        <w:rPr>
          <w:rFonts w:ascii="Verdana" w:hAnsi="Verdana"/>
          <w:sz w:val="18"/>
          <w:szCs w:val="18"/>
          <w:lang w:val="en-GB"/>
        </w:rPr>
        <w:t>2</w:t>
      </w:r>
      <w:r>
        <w:rPr>
          <w:rFonts w:ascii="Verdana" w:hAnsi="Verdana"/>
          <w:sz w:val="18"/>
          <w:szCs w:val="18"/>
          <w:lang w:val="en-GB"/>
        </w:rPr>
        <w:t xml:space="preserve">, and the information and/or documents referred to in paragraph </w:t>
      </w:r>
      <w:r w:rsidR="005F2EE2">
        <w:rPr>
          <w:rFonts w:ascii="Verdana" w:hAnsi="Verdana"/>
          <w:sz w:val="18"/>
          <w:szCs w:val="18"/>
          <w:lang w:val="en-GB"/>
        </w:rPr>
        <w:t>3</w:t>
      </w:r>
      <w:r>
        <w:rPr>
          <w:rFonts w:ascii="Verdana" w:hAnsi="Verdana"/>
          <w:sz w:val="18"/>
          <w:szCs w:val="18"/>
          <w:lang w:val="en-GB"/>
        </w:rPr>
        <w:t xml:space="preserve"> within a reasonable </w:t>
      </w:r>
      <w:proofErr w:type="gramStart"/>
      <w:r>
        <w:rPr>
          <w:rFonts w:ascii="Verdana" w:hAnsi="Verdana"/>
          <w:sz w:val="18"/>
          <w:szCs w:val="18"/>
          <w:lang w:val="en-GB"/>
        </w:rPr>
        <w:t>period of time</w:t>
      </w:r>
      <w:proofErr w:type="gramEnd"/>
      <w:r>
        <w:rPr>
          <w:rFonts w:ascii="Verdana" w:hAnsi="Verdana"/>
          <w:sz w:val="18"/>
          <w:szCs w:val="18"/>
          <w:lang w:val="en-GB"/>
        </w:rPr>
        <w:t xml:space="preserve"> specified by the ombudsperson.</w:t>
      </w:r>
    </w:p>
    <w:p w14:paraId="3F33F51F" w14:textId="77777777" w:rsidR="006133EB" w:rsidRPr="00897AC5" w:rsidRDefault="006133EB" w:rsidP="001661B4">
      <w:pPr>
        <w:pStyle w:val="Lijstalinea"/>
        <w:spacing w:line="276" w:lineRule="auto"/>
        <w:rPr>
          <w:rFonts w:ascii="Verdana" w:hAnsi="Verdana"/>
          <w:sz w:val="18"/>
          <w:szCs w:val="18"/>
          <w:lang w:val="en-US"/>
        </w:rPr>
      </w:pPr>
    </w:p>
    <w:p w14:paraId="5441EA3A" w14:textId="481D1B16" w:rsidR="006133EB" w:rsidRPr="00897AC5" w:rsidRDefault="000C336C" w:rsidP="001661B4">
      <w:pPr>
        <w:pStyle w:val="Lijstalinea"/>
        <w:numPr>
          <w:ilvl w:val="0"/>
          <w:numId w:val="15"/>
        </w:numPr>
        <w:autoSpaceDE w:val="0"/>
        <w:autoSpaceDN w:val="0"/>
        <w:adjustRightInd w:val="0"/>
        <w:spacing w:line="276" w:lineRule="auto"/>
        <w:rPr>
          <w:rFonts w:ascii="Verdana" w:hAnsi="Verdana" w:cs="Calibri"/>
          <w:color w:val="000000"/>
          <w:sz w:val="18"/>
          <w:szCs w:val="18"/>
          <w:lang w:val="en-US"/>
        </w:rPr>
      </w:pPr>
      <w:r>
        <w:rPr>
          <w:rFonts w:ascii="Verdana" w:hAnsi="Verdana"/>
          <w:sz w:val="18"/>
          <w:szCs w:val="18"/>
          <w:lang w:val="en-GB"/>
        </w:rPr>
        <w:t>The ombudsperson informs the persons involved in the report about the information they have gathered.</w:t>
      </w:r>
    </w:p>
    <w:p w14:paraId="7FC3A495" w14:textId="77777777" w:rsidR="006133EB" w:rsidRPr="00897AC5" w:rsidRDefault="006133EB" w:rsidP="001661B4">
      <w:pPr>
        <w:pStyle w:val="Lijstalinea"/>
        <w:spacing w:line="276" w:lineRule="auto"/>
        <w:rPr>
          <w:rFonts w:ascii="Verdana" w:hAnsi="Verdana"/>
          <w:sz w:val="18"/>
          <w:szCs w:val="18"/>
          <w:lang w:val="en-US"/>
        </w:rPr>
      </w:pPr>
    </w:p>
    <w:p w14:paraId="360F857A" w14:textId="15266E81" w:rsidR="006133EB" w:rsidRPr="00897AC5" w:rsidRDefault="00B67FD2" w:rsidP="001661B4">
      <w:pPr>
        <w:pStyle w:val="Lijstalinea"/>
        <w:numPr>
          <w:ilvl w:val="0"/>
          <w:numId w:val="15"/>
        </w:numPr>
        <w:autoSpaceDE w:val="0"/>
        <w:autoSpaceDN w:val="0"/>
        <w:adjustRightInd w:val="0"/>
        <w:spacing w:line="276" w:lineRule="auto"/>
        <w:rPr>
          <w:rFonts w:ascii="Verdana" w:hAnsi="Verdana" w:cs="Calibri"/>
          <w:color w:val="000000"/>
          <w:sz w:val="18"/>
          <w:szCs w:val="18"/>
          <w:lang w:val="en-US"/>
        </w:rPr>
      </w:pPr>
      <w:r>
        <w:rPr>
          <w:rFonts w:ascii="Verdana" w:hAnsi="Verdana"/>
          <w:sz w:val="18"/>
          <w:szCs w:val="18"/>
          <w:lang w:val="en-GB"/>
        </w:rPr>
        <w:t>Bodies and officials may indicate that the information and/or documents they deem to be of a confidential nature for legal or judicial reasons can only be provided on condition that their confidential nature is maintained by the ombudsperson.</w:t>
      </w:r>
    </w:p>
    <w:p w14:paraId="0C807C4E" w14:textId="77777777" w:rsidR="006133EB" w:rsidRPr="00897AC5" w:rsidRDefault="006133EB" w:rsidP="001661B4">
      <w:pPr>
        <w:pStyle w:val="Lijstalinea"/>
        <w:spacing w:line="276" w:lineRule="auto"/>
        <w:rPr>
          <w:rFonts w:ascii="Verdana" w:hAnsi="Verdana"/>
          <w:sz w:val="18"/>
          <w:szCs w:val="18"/>
          <w:lang w:val="en-US"/>
        </w:rPr>
      </w:pPr>
    </w:p>
    <w:p w14:paraId="1665216F" w14:textId="30DEE134" w:rsidR="000C336C" w:rsidRPr="00897AC5" w:rsidRDefault="000C336C" w:rsidP="001661B4">
      <w:pPr>
        <w:pStyle w:val="Lijstalinea"/>
        <w:numPr>
          <w:ilvl w:val="0"/>
          <w:numId w:val="15"/>
        </w:numPr>
        <w:autoSpaceDE w:val="0"/>
        <w:autoSpaceDN w:val="0"/>
        <w:adjustRightInd w:val="0"/>
        <w:spacing w:line="276" w:lineRule="auto"/>
        <w:rPr>
          <w:rFonts w:ascii="Verdana" w:hAnsi="Verdana" w:cs="Calibri"/>
          <w:color w:val="000000"/>
          <w:sz w:val="18"/>
          <w:szCs w:val="18"/>
          <w:lang w:val="en-US"/>
        </w:rPr>
      </w:pPr>
      <w:r>
        <w:rPr>
          <w:rFonts w:ascii="Verdana" w:hAnsi="Verdana"/>
          <w:sz w:val="18"/>
          <w:szCs w:val="18"/>
          <w:lang w:val="en-GB"/>
        </w:rPr>
        <w:t xml:space="preserve">The ombudsperson informs the reporting party and the person to whom the report relates of their provisional findings, in writing, before closing the investigation, and gives them the opportunity to respond, also in writing, within a reasonable </w:t>
      </w:r>
      <w:proofErr w:type="gramStart"/>
      <w:r>
        <w:rPr>
          <w:rFonts w:ascii="Verdana" w:hAnsi="Verdana"/>
          <w:sz w:val="18"/>
          <w:szCs w:val="18"/>
          <w:lang w:val="en-GB"/>
        </w:rPr>
        <w:t>period of time</w:t>
      </w:r>
      <w:proofErr w:type="gramEnd"/>
      <w:r>
        <w:rPr>
          <w:rFonts w:ascii="Verdana" w:hAnsi="Verdana"/>
          <w:sz w:val="18"/>
          <w:szCs w:val="18"/>
          <w:lang w:val="en-GB"/>
        </w:rPr>
        <w:t xml:space="preserve"> specified by the ombudsperson.</w:t>
      </w:r>
    </w:p>
    <w:p w14:paraId="4833C19C" w14:textId="77777777" w:rsidR="00197011" w:rsidRPr="00897AC5" w:rsidRDefault="00197011" w:rsidP="00197011">
      <w:pPr>
        <w:pStyle w:val="Lijstalinea"/>
        <w:rPr>
          <w:rFonts w:ascii="Verdana" w:hAnsi="Verdana" w:cs="Calibri"/>
          <w:color w:val="000000"/>
          <w:sz w:val="18"/>
          <w:szCs w:val="18"/>
          <w:lang w:val="en-US"/>
        </w:rPr>
      </w:pPr>
    </w:p>
    <w:p w14:paraId="37388AA0" w14:textId="3F47CC03" w:rsidR="006133EB" w:rsidRPr="00897AC5" w:rsidRDefault="00197011" w:rsidP="00197011">
      <w:pPr>
        <w:pStyle w:val="Lijstalinea"/>
        <w:numPr>
          <w:ilvl w:val="0"/>
          <w:numId w:val="15"/>
        </w:numPr>
        <w:autoSpaceDE w:val="0"/>
        <w:autoSpaceDN w:val="0"/>
        <w:adjustRightInd w:val="0"/>
        <w:spacing w:line="276" w:lineRule="auto"/>
        <w:rPr>
          <w:lang w:val="en-US"/>
        </w:rPr>
      </w:pPr>
      <w:r>
        <w:rPr>
          <w:rFonts w:ascii="Verdana" w:hAnsi="Verdana" w:cs="Arial"/>
          <w:color w:val="000000"/>
          <w:sz w:val="18"/>
          <w:szCs w:val="18"/>
          <w:lang w:val="en-GB"/>
        </w:rPr>
        <w:t xml:space="preserve">Before the ombudsperson closes the investigation, they inform the reporting party and the organisational unit/department/person to whom the report relates of their provisional findings in writing – as part of the adversarial process – and gives them the opportunity to respond within a reasonable </w:t>
      </w:r>
      <w:proofErr w:type="gramStart"/>
      <w:r>
        <w:rPr>
          <w:rFonts w:ascii="Verdana" w:hAnsi="Verdana" w:cs="Arial"/>
          <w:color w:val="000000"/>
          <w:sz w:val="18"/>
          <w:szCs w:val="18"/>
          <w:lang w:val="en-GB"/>
        </w:rPr>
        <w:t>period of time</w:t>
      </w:r>
      <w:proofErr w:type="gramEnd"/>
      <w:r>
        <w:rPr>
          <w:rFonts w:ascii="Verdana" w:hAnsi="Verdana" w:cs="Arial"/>
          <w:color w:val="000000"/>
          <w:sz w:val="18"/>
          <w:szCs w:val="18"/>
          <w:lang w:val="en-GB"/>
        </w:rPr>
        <w:t>.</w:t>
      </w:r>
    </w:p>
    <w:p w14:paraId="5DB31724" w14:textId="77777777" w:rsidR="00825D3C" w:rsidRPr="00897AC5" w:rsidRDefault="00825D3C" w:rsidP="00197011">
      <w:pPr>
        <w:rPr>
          <w:lang w:val="en-US"/>
        </w:rPr>
      </w:pPr>
    </w:p>
    <w:p w14:paraId="6AC0F64C" w14:textId="093BF3D8" w:rsidR="00750354" w:rsidRPr="003E3A67" w:rsidRDefault="00750354" w:rsidP="003E3A67">
      <w:pPr>
        <w:pStyle w:val="Kop1"/>
        <w:rPr>
          <w:rFonts w:ascii="Verdana" w:hAnsi="Verdana"/>
          <w:sz w:val="24"/>
          <w:szCs w:val="24"/>
        </w:rPr>
      </w:pPr>
      <w:bookmarkStart w:id="7" w:name="_Toc82534039"/>
      <w:r>
        <w:rPr>
          <w:rFonts w:ascii="Verdana" w:hAnsi="Verdana"/>
          <w:sz w:val="24"/>
          <w:szCs w:val="24"/>
          <w:lang w:val="en-GB"/>
        </w:rPr>
        <w:t>Article 7 – The findings</w:t>
      </w:r>
      <w:bookmarkEnd w:id="7"/>
    </w:p>
    <w:p w14:paraId="65CB50E4" w14:textId="726B6AAF" w:rsidR="00825D3C" w:rsidRPr="00897AC5" w:rsidRDefault="003E3A67" w:rsidP="003E3A67">
      <w:pPr>
        <w:pStyle w:val="Lijstalinea"/>
        <w:numPr>
          <w:ilvl w:val="0"/>
          <w:numId w:val="21"/>
        </w:numPr>
        <w:tabs>
          <w:tab w:val="left" w:pos="544"/>
        </w:tabs>
        <w:spacing w:line="276" w:lineRule="auto"/>
        <w:ind w:right="-7"/>
        <w:rPr>
          <w:rFonts w:ascii="Verdana" w:hAnsi="Verdana"/>
          <w:sz w:val="18"/>
          <w:szCs w:val="18"/>
          <w:lang w:val="en-US"/>
        </w:rPr>
      </w:pPr>
      <w:r>
        <w:rPr>
          <w:rFonts w:ascii="Verdana" w:hAnsi="Verdana" w:cs="Arial"/>
          <w:color w:val="000000"/>
          <w:sz w:val="18"/>
          <w:szCs w:val="18"/>
          <w:lang w:val="en-GB"/>
        </w:rPr>
        <w:t xml:space="preserve">The ombudsperson's reports, in which they reflect their evaluation, contains the considerations on which the evaluation is based and is sent – </w:t>
      </w:r>
      <w:proofErr w:type="gramStart"/>
      <w:r>
        <w:rPr>
          <w:rFonts w:ascii="Verdana" w:hAnsi="Verdana" w:cs="Arial"/>
          <w:color w:val="000000"/>
          <w:sz w:val="18"/>
          <w:szCs w:val="18"/>
          <w:lang w:val="en-GB"/>
        </w:rPr>
        <w:t>whether or not</w:t>
      </w:r>
      <w:proofErr w:type="gramEnd"/>
      <w:r>
        <w:rPr>
          <w:rFonts w:ascii="Verdana" w:hAnsi="Verdana" w:cs="Arial"/>
          <w:color w:val="000000"/>
          <w:sz w:val="18"/>
          <w:szCs w:val="18"/>
          <w:lang w:val="en-GB"/>
        </w:rPr>
        <w:t xml:space="preserve"> anonymously at the request of the reporting party – to the reporting party, the Executive Board and to the person to whom the report relates.</w:t>
      </w:r>
    </w:p>
    <w:p w14:paraId="2FA6B1B6" w14:textId="77777777" w:rsidR="00825D3C" w:rsidRPr="00897AC5" w:rsidRDefault="00825D3C" w:rsidP="003E3A67">
      <w:pPr>
        <w:pStyle w:val="Lijstalinea"/>
        <w:tabs>
          <w:tab w:val="left" w:pos="544"/>
        </w:tabs>
        <w:spacing w:line="276" w:lineRule="auto"/>
        <w:ind w:left="360" w:right="-7"/>
        <w:rPr>
          <w:rFonts w:ascii="Verdana" w:hAnsi="Verdana"/>
          <w:sz w:val="18"/>
          <w:szCs w:val="18"/>
          <w:lang w:val="en-US"/>
        </w:rPr>
      </w:pPr>
    </w:p>
    <w:p w14:paraId="2547EE2C" w14:textId="01FC2E98" w:rsidR="003E3A67" w:rsidRPr="00897AC5" w:rsidRDefault="006133EB" w:rsidP="003E3A67">
      <w:pPr>
        <w:pStyle w:val="Lijstalinea"/>
        <w:numPr>
          <w:ilvl w:val="0"/>
          <w:numId w:val="21"/>
        </w:numPr>
        <w:tabs>
          <w:tab w:val="left" w:pos="544"/>
        </w:tabs>
        <w:spacing w:line="276" w:lineRule="auto"/>
        <w:ind w:right="-7"/>
        <w:rPr>
          <w:rFonts w:ascii="Verdana" w:hAnsi="Verdana"/>
          <w:sz w:val="18"/>
          <w:szCs w:val="18"/>
          <w:lang w:val="en-US"/>
        </w:rPr>
      </w:pPr>
      <w:r>
        <w:rPr>
          <w:rFonts w:ascii="Verdana" w:hAnsi="Verdana" w:cs="Arial"/>
          <w:color w:val="000000"/>
          <w:sz w:val="18"/>
          <w:szCs w:val="18"/>
          <w:lang w:val="en-GB"/>
        </w:rPr>
        <w:t xml:space="preserve">If the investigation concerns the Executive Board or its members, the ombudsperson will report directly to the Supervisory Board. </w:t>
      </w:r>
    </w:p>
    <w:p w14:paraId="5388C462" w14:textId="77777777" w:rsidR="003E3A67" w:rsidRPr="00897AC5" w:rsidRDefault="003E3A67" w:rsidP="003E3A67">
      <w:pPr>
        <w:pStyle w:val="Lijstalinea"/>
        <w:spacing w:line="276" w:lineRule="auto"/>
        <w:rPr>
          <w:rFonts w:ascii="Museo Sans 100" w:hAnsi="Museo Sans 100" w:cs="Museo Sans 100"/>
          <w:color w:val="000000"/>
          <w:sz w:val="22"/>
          <w:szCs w:val="22"/>
          <w:lang w:val="en-US"/>
        </w:rPr>
      </w:pPr>
    </w:p>
    <w:p w14:paraId="0993B6AF" w14:textId="47D288B8" w:rsidR="003E3A67" w:rsidRPr="00897AC5" w:rsidRDefault="003E3A67" w:rsidP="003E3A67">
      <w:pPr>
        <w:pStyle w:val="Lijstalinea"/>
        <w:numPr>
          <w:ilvl w:val="0"/>
          <w:numId w:val="21"/>
        </w:numPr>
        <w:tabs>
          <w:tab w:val="left" w:pos="544"/>
        </w:tabs>
        <w:spacing w:line="276" w:lineRule="auto"/>
        <w:ind w:right="-7"/>
        <w:rPr>
          <w:rFonts w:ascii="Verdana" w:hAnsi="Verdana" w:cs="Arial"/>
          <w:color w:val="000000"/>
          <w:sz w:val="18"/>
          <w:szCs w:val="18"/>
          <w:lang w:val="en-US"/>
        </w:rPr>
      </w:pPr>
      <w:r>
        <w:rPr>
          <w:rFonts w:ascii="Verdana" w:hAnsi="Verdana" w:cs="Arial"/>
          <w:color w:val="000000"/>
          <w:sz w:val="18"/>
          <w:szCs w:val="18"/>
          <w:lang w:val="en-GB"/>
        </w:rPr>
        <w:t xml:space="preserve">The ombudsperson may make these recommendations in the report as they see fit. These recommendations may relate to the specific conduct mentioned in the report or to more general aspects revealed by the investigation. </w:t>
      </w:r>
    </w:p>
    <w:p w14:paraId="02D41399" w14:textId="77777777" w:rsidR="003E3A67" w:rsidRPr="00897AC5" w:rsidRDefault="003E3A67" w:rsidP="003E3A67">
      <w:pPr>
        <w:pStyle w:val="Lijstalinea"/>
        <w:spacing w:line="276" w:lineRule="auto"/>
        <w:rPr>
          <w:rFonts w:ascii="Museo Sans 100" w:hAnsi="Museo Sans 100" w:cs="Museo Sans 100"/>
          <w:color w:val="000000"/>
          <w:sz w:val="22"/>
          <w:szCs w:val="22"/>
          <w:lang w:val="en-US"/>
        </w:rPr>
      </w:pPr>
    </w:p>
    <w:p w14:paraId="2567487F" w14:textId="0F0CF3FE" w:rsidR="003E3A67" w:rsidRPr="005F2EE2" w:rsidRDefault="003E3A67" w:rsidP="003E3A67">
      <w:pPr>
        <w:pStyle w:val="Lijstalinea"/>
        <w:numPr>
          <w:ilvl w:val="0"/>
          <w:numId w:val="21"/>
        </w:numPr>
        <w:tabs>
          <w:tab w:val="left" w:pos="544"/>
        </w:tabs>
        <w:spacing w:line="276" w:lineRule="auto"/>
        <w:ind w:right="-7"/>
        <w:rPr>
          <w:rFonts w:ascii="Verdana" w:hAnsi="Verdana" w:cs="Arial"/>
          <w:color w:val="000000"/>
          <w:sz w:val="18"/>
          <w:szCs w:val="18"/>
          <w:lang w:val="en-US"/>
        </w:rPr>
      </w:pPr>
      <w:r>
        <w:rPr>
          <w:rFonts w:ascii="Verdana" w:hAnsi="Verdana" w:cs="Arial"/>
          <w:color w:val="000000"/>
          <w:sz w:val="18"/>
          <w:szCs w:val="18"/>
          <w:lang w:val="en-GB"/>
        </w:rPr>
        <w:t>Within one month of receiving a report, the Executive Board shall inform the ombudsperson in a substantiated manner whether, and, if so, how the recommendations have been or will be followed up. The recommendations need not be implemented if they conflict with general policy</w:t>
      </w:r>
      <w:r w:rsidR="005F2EE2">
        <w:rPr>
          <w:rFonts w:ascii="Verdana" w:hAnsi="Verdana" w:cs="Arial"/>
          <w:color w:val="000000"/>
          <w:sz w:val="18"/>
          <w:szCs w:val="18"/>
          <w:lang w:val="en-GB"/>
        </w:rPr>
        <w:t xml:space="preserve"> for compelling reasons</w:t>
      </w:r>
      <w:r>
        <w:rPr>
          <w:rFonts w:ascii="Verdana" w:hAnsi="Verdana" w:cs="Arial"/>
          <w:color w:val="000000"/>
          <w:sz w:val="18"/>
          <w:szCs w:val="18"/>
          <w:lang w:val="en-GB"/>
        </w:rPr>
        <w:t xml:space="preserve">. The ombudsperson informs the reporting party and the person to whom the report relates of this, in writing, at once. </w:t>
      </w:r>
    </w:p>
    <w:p w14:paraId="7D88F41C" w14:textId="77777777" w:rsidR="005F2EE2" w:rsidRPr="005F2EE2" w:rsidRDefault="005F2EE2" w:rsidP="005F2EE2">
      <w:pPr>
        <w:pStyle w:val="Lijstalinea"/>
        <w:rPr>
          <w:rFonts w:ascii="Verdana" w:hAnsi="Verdana" w:cs="Arial"/>
          <w:color w:val="000000"/>
          <w:sz w:val="18"/>
          <w:szCs w:val="18"/>
          <w:lang w:val="en-US"/>
        </w:rPr>
      </w:pPr>
    </w:p>
    <w:p w14:paraId="3D9BF69D" w14:textId="292BAD48" w:rsidR="00750354" w:rsidRPr="00897AC5" w:rsidRDefault="003E3A67" w:rsidP="003E3A67">
      <w:pPr>
        <w:pStyle w:val="Lijstalinea"/>
        <w:numPr>
          <w:ilvl w:val="0"/>
          <w:numId w:val="21"/>
        </w:numPr>
        <w:tabs>
          <w:tab w:val="left" w:pos="544"/>
        </w:tabs>
        <w:spacing w:line="276" w:lineRule="auto"/>
        <w:ind w:right="-7"/>
        <w:rPr>
          <w:rFonts w:ascii="Verdana" w:hAnsi="Verdana" w:cs="Arial"/>
          <w:color w:val="000000"/>
          <w:sz w:val="18"/>
          <w:szCs w:val="18"/>
          <w:lang w:val="en-US"/>
        </w:rPr>
      </w:pPr>
      <w:r>
        <w:rPr>
          <w:rFonts w:ascii="Verdana" w:hAnsi="Verdana"/>
          <w:color w:val="000000"/>
          <w:sz w:val="18"/>
          <w:szCs w:val="18"/>
          <w:lang w:val="en-GB"/>
        </w:rPr>
        <w:t>If the Executive Board considers there to be compelling reasons not to follow the advice or the recommendations, it will inform the ombudsperson in writing, stating its reasons. The ombudsperson sends a copy of this to the reporting party and the person to whom the report relates.</w:t>
      </w:r>
    </w:p>
    <w:p w14:paraId="2350C326" w14:textId="77777777" w:rsidR="00750354" w:rsidRPr="002262C3" w:rsidRDefault="00750354" w:rsidP="001661B4">
      <w:pPr>
        <w:pStyle w:val="Lijstalinea"/>
        <w:spacing w:line="276" w:lineRule="auto"/>
        <w:rPr>
          <w:rFonts w:ascii="Verdana" w:hAnsi="Verdana"/>
          <w:sz w:val="18"/>
          <w:szCs w:val="18"/>
          <w:lang w:val="en-US"/>
        </w:rPr>
      </w:pPr>
    </w:p>
    <w:p w14:paraId="37434243" w14:textId="5C98731E" w:rsidR="00750354" w:rsidRPr="00897AC5" w:rsidRDefault="006133EB" w:rsidP="00825D3C">
      <w:pPr>
        <w:pStyle w:val="Lijstalinea"/>
        <w:numPr>
          <w:ilvl w:val="0"/>
          <w:numId w:val="21"/>
        </w:numPr>
        <w:tabs>
          <w:tab w:val="left" w:pos="544"/>
        </w:tabs>
        <w:spacing w:line="276" w:lineRule="auto"/>
        <w:ind w:right="-7"/>
        <w:rPr>
          <w:rFonts w:ascii="Verdana" w:hAnsi="Verdana"/>
          <w:sz w:val="18"/>
          <w:szCs w:val="18"/>
          <w:lang w:val="en-US"/>
        </w:rPr>
      </w:pPr>
      <w:r>
        <w:rPr>
          <w:rFonts w:ascii="Verdana" w:hAnsi="Verdana"/>
          <w:sz w:val="18"/>
          <w:szCs w:val="18"/>
          <w:lang w:val="en-GB"/>
        </w:rPr>
        <w:lastRenderedPageBreak/>
        <w:t>The findings (assessments and recommendations) of the ombudsperson are not open to appeal or objection.</w:t>
      </w:r>
    </w:p>
    <w:p w14:paraId="1BA45EE4" w14:textId="77777777" w:rsidR="00750354" w:rsidRPr="00897AC5" w:rsidRDefault="00750354" w:rsidP="003E3A67">
      <w:pPr>
        <w:spacing w:line="276" w:lineRule="auto"/>
        <w:rPr>
          <w:rFonts w:ascii="Verdana" w:hAnsi="Verdana" w:cs="Arial"/>
          <w:color w:val="000000"/>
          <w:sz w:val="18"/>
          <w:szCs w:val="18"/>
          <w:lang w:val="en-US"/>
        </w:rPr>
      </w:pPr>
    </w:p>
    <w:p w14:paraId="7B5714AC" w14:textId="5D16E596" w:rsidR="00DD3E75" w:rsidRPr="00897AC5" w:rsidRDefault="00DD3E75" w:rsidP="003E3A67">
      <w:pPr>
        <w:pStyle w:val="Lijstalinea"/>
        <w:numPr>
          <w:ilvl w:val="0"/>
          <w:numId w:val="21"/>
        </w:numPr>
        <w:tabs>
          <w:tab w:val="left" w:pos="544"/>
        </w:tabs>
        <w:spacing w:line="276" w:lineRule="auto"/>
        <w:ind w:right="-7"/>
        <w:rPr>
          <w:rFonts w:ascii="Verdana" w:hAnsi="Verdana"/>
          <w:sz w:val="18"/>
          <w:szCs w:val="18"/>
          <w:lang w:val="en-US"/>
        </w:rPr>
      </w:pPr>
      <w:r>
        <w:rPr>
          <w:rFonts w:ascii="Verdana" w:hAnsi="Verdana" w:cs="Arial"/>
          <w:color w:val="000000"/>
          <w:sz w:val="18"/>
          <w:szCs w:val="18"/>
          <w:lang w:val="en-GB"/>
        </w:rPr>
        <w:t xml:space="preserve">The ombudsperson provides copies of reports to the HR Director. </w:t>
      </w:r>
    </w:p>
    <w:p w14:paraId="56C1024B" w14:textId="0582BEC9" w:rsidR="00DD3E75" w:rsidRPr="00897AC5" w:rsidRDefault="00DD3E75" w:rsidP="001661B4">
      <w:pPr>
        <w:autoSpaceDE w:val="0"/>
        <w:autoSpaceDN w:val="0"/>
        <w:adjustRightInd w:val="0"/>
        <w:spacing w:line="276" w:lineRule="auto"/>
        <w:rPr>
          <w:rFonts w:ascii="Verdana" w:hAnsi="Verdana" w:cs="Arial"/>
          <w:color w:val="000000"/>
          <w:sz w:val="18"/>
          <w:szCs w:val="18"/>
          <w:lang w:val="en-US"/>
        </w:rPr>
      </w:pPr>
    </w:p>
    <w:p w14:paraId="0EE8B78E" w14:textId="355B17DF" w:rsidR="00197011" w:rsidRPr="00897AC5" w:rsidRDefault="00197011" w:rsidP="00197011">
      <w:pPr>
        <w:pStyle w:val="Kop1"/>
        <w:rPr>
          <w:rFonts w:ascii="Verdana" w:hAnsi="Verdana"/>
          <w:sz w:val="24"/>
          <w:szCs w:val="24"/>
          <w:lang w:val="en-US"/>
        </w:rPr>
      </w:pPr>
      <w:bookmarkStart w:id="8" w:name="_Toc82534040"/>
      <w:r>
        <w:rPr>
          <w:rFonts w:ascii="Verdana" w:hAnsi="Verdana"/>
          <w:sz w:val="24"/>
          <w:szCs w:val="24"/>
          <w:lang w:val="en-GB"/>
        </w:rPr>
        <w:t>Article 8 – Investigations on own initiative</w:t>
      </w:r>
      <w:bookmarkEnd w:id="8"/>
    </w:p>
    <w:p w14:paraId="417B01D1" w14:textId="3B6354DD" w:rsidR="00197011" w:rsidRPr="00897AC5" w:rsidRDefault="00197011" w:rsidP="00D73932">
      <w:pPr>
        <w:pStyle w:val="Plattetekst"/>
        <w:spacing w:line="276" w:lineRule="auto"/>
        <w:ind w:left="0" w:right="780"/>
        <w:rPr>
          <w:rFonts w:ascii="Verdana" w:eastAsiaTheme="minorHAnsi" w:hAnsi="Verdana" w:cs="Arial"/>
          <w:color w:val="000000"/>
          <w:sz w:val="18"/>
          <w:szCs w:val="18"/>
          <w:lang w:val="en-US"/>
        </w:rPr>
      </w:pPr>
      <w:r>
        <w:rPr>
          <w:rFonts w:ascii="Verdana" w:eastAsiaTheme="minorHAnsi" w:hAnsi="Verdana" w:cs="Arial"/>
          <w:color w:val="000000"/>
          <w:sz w:val="18"/>
          <w:szCs w:val="18"/>
          <w:lang w:val="en-GB"/>
        </w:rPr>
        <w:t>In the event of investigations made on the ombudsperson's own initiative, as referred to in Article 4, paragraph 6, Articles 6, 7 and 12 shall apply as far as possible.</w:t>
      </w:r>
    </w:p>
    <w:p w14:paraId="0E7C157D" w14:textId="77777777" w:rsidR="00197011" w:rsidRPr="00897AC5" w:rsidRDefault="00197011" w:rsidP="00197011">
      <w:pPr>
        <w:rPr>
          <w:lang w:val="en-US"/>
        </w:rPr>
      </w:pPr>
    </w:p>
    <w:p w14:paraId="12B9E827" w14:textId="42FAE63B" w:rsidR="003E3A67" w:rsidRPr="00897AC5" w:rsidRDefault="003E3A67" w:rsidP="003E3A67">
      <w:pPr>
        <w:pStyle w:val="Kop1"/>
        <w:rPr>
          <w:rFonts w:ascii="Verdana" w:hAnsi="Verdana"/>
          <w:sz w:val="24"/>
          <w:szCs w:val="24"/>
          <w:lang w:val="en-US"/>
        </w:rPr>
      </w:pPr>
      <w:bookmarkStart w:id="9" w:name="_Toc82534041"/>
      <w:r>
        <w:rPr>
          <w:rFonts w:ascii="Verdana" w:hAnsi="Verdana"/>
          <w:sz w:val="24"/>
          <w:szCs w:val="24"/>
          <w:lang w:val="en-GB"/>
        </w:rPr>
        <w:t>Article 9 – Annual Report</w:t>
      </w:r>
      <w:bookmarkEnd w:id="9"/>
    </w:p>
    <w:p w14:paraId="18AA1EBB" w14:textId="31464A1C" w:rsidR="003E3A67" w:rsidRPr="00897AC5" w:rsidRDefault="003E3A67" w:rsidP="003E3A67">
      <w:pPr>
        <w:autoSpaceDE w:val="0"/>
        <w:autoSpaceDN w:val="0"/>
        <w:adjustRightInd w:val="0"/>
        <w:spacing w:line="276" w:lineRule="auto"/>
        <w:rPr>
          <w:rFonts w:ascii="Verdana" w:hAnsi="Verdana"/>
          <w:sz w:val="18"/>
          <w:szCs w:val="18"/>
          <w:lang w:val="en-US"/>
        </w:rPr>
      </w:pPr>
      <w:r>
        <w:rPr>
          <w:rFonts w:ascii="Verdana" w:hAnsi="Verdana"/>
          <w:sz w:val="18"/>
          <w:szCs w:val="18"/>
          <w:lang w:val="en-GB"/>
        </w:rPr>
        <w:t xml:space="preserve">The ombudsperson reports on their activities annually to the Executive Board, the Local Participation, the Student </w:t>
      </w:r>
      <w:proofErr w:type="gramStart"/>
      <w:r>
        <w:rPr>
          <w:rFonts w:ascii="Verdana" w:hAnsi="Verdana"/>
          <w:sz w:val="18"/>
          <w:szCs w:val="18"/>
          <w:lang w:val="en-GB"/>
        </w:rPr>
        <w:t>Council</w:t>
      </w:r>
      <w:proofErr w:type="gramEnd"/>
      <w:r>
        <w:rPr>
          <w:rFonts w:ascii="Verdana" w:hAnsi="Verdana"/>
          <w:sz w:val="18"/>
          <w:szCs w:val="18"/>
          <w:lang w:val="en-GB"/>
        </w:rPr>
        <w:t xml:space="preserve"> and the Supervisory Board. In all cases, the report shall include the number of cases dealt with and an anonymous summary thereof. Any descriptions of the issues dealt with shall be such that the privacy of the staff or students concerned is fully protected. </w:t>
      </w:r>
    </w:p>
    <w:p w14:paraId="6CC3DA73" w14:textId="77777777" w:rsidR="00A717A7" w:rsidRPr="00897AC5" w:rsidRDefault="00A717A7" w:rsidP="003E3A67">
      <w:pPr>
        <w:autoSpaceDE w:val="0"/>
        <w:autoSpaceDN w:val="0"/>
        <w:adjustRightInd w:val="0"/>
        <w:spacing w:line="276" w:lineRule="auto"/>
        <w:rPr>
          <w:rFonts w:ascii="Verdana" w:hAnsi="Verdana" w:cs="Arial"/>
          <w:color w:val="000000"/>
          <w:sz w:val="18"/>
          <w:szCs w:val="18"/>
          <w:lang w:val="en-US"/>
        </w:rPr>
      </w:pPr>
    </w:p>
    <w:p w14:paraId="75AEE084" w14:textId="375082A9" w:rsidR="006133EB" w:rsidRPr="00897AC5" w:rsidRDefault="003E3A67" w:rsidP="003E3A67">
      <w:pPr>
        <w:pStyle w:val="Kop1"/>
        <w:rPr>
          <w:rFonts w:ascii="Verdana" w:hAnsi="Verdana"/>
          <w:sz w:val="24"/>
          <w:szCs w:val="24"/>
          <w:lang w:val="en-US"/>
        </w:rPr>
      </w:pPr>
      <w:bookmarkStart w:id="10" w:name="_Toc82534042"/>
      <w:r>
        <w:rPr>
          <w:rFonts w:ascii="Verdana" w:hAnsi="Verdana"/>
          <w:sz w:val="24"/>
          <w:szCs w:val="24"/>
          <w:lang w:val="en-GB"/>
        </w:rPr>
        <w:t>Article 10 – Confidentiality</w:t>
      </w:r>
      <w:bookmarkEnd w:id="10"/>
    </w:p>
    <w:p w14:paraId="22CE6D2E" w14:textId="7E1CA5F6" w:rsidR="00DD3E75" w:rsidRPr="00897AC5" w:rsidRDefault="003E3A67" w:rsidP="003E3A67">
      <w:pPr>
        <w:autoSpaceDE w:val="0"/>
        <w:autoSpaceDN w:val="0"/>
        <w:adjustRightInd w:val="0"/>
        <w:spacing w:line="276" w:lineRule="auto"/>
        <w:rPr>
          <w:rFonts w:ascii="Verdana" w:hAnsi="Verdana" w:cs="Arial"/>
          <w:color w:val="000000"/>
          <w:sz w:val="18"/>
          <w:szCs w:val="18"/>
          <w:lang w:val="en-US"/>
        </w:rPr>
      </w:pPr>
      <w:r>
        <w:rPr>
          <w:rFonts w:ascii="Verdana" w:hAnsi="Verdana" w:cs="Arial"/>
          <w:color w:val="000000"/>
          <w:sz w:val="18"/>
          <w:szCs w:val="18"/>
          <w:lang w:val="en-GB"/>
        </w:rPr>
        <w:t xml:space="preserve">The ombudsperson is obliged to maintain confidentiality with regard to anything that comes to their attention in the performance of their duties, insofar as </w:t>
      </w:r>
      <w:proofErr w:type="gramStart"/>
      <w:r>
        <w:rPr>
          <w:rFonts w:ascii="Verdana" w:hAnsi="Verdana" w:cs="Arial"/>
          <w:color w:val="000000"/>
          <w:sz w:val="18"/>
          <w:szCs w:val="18"/>
          <w:lang w:val="en-GB"/>
        </w:rPr>
        <w:t>this results</w:t>
      </w:r>
      <w:proofErr w:type="gramEnd"/>
      <w:r>
        <w:rPr>
          <w:rFonts w:ascii="Verdana" w:hAnsi="Verdana" w:cs="Arial"/>
          <w:color w:val="000000"/>
          <w:sz w:val="18"/>
          <w:szCs w:val="18"/>
          <w:lang w:val="en-GB"/>
        </w:rPr>
        <w:t xml:space="preserve"> from the nature of the case. This duty also applies to all people working for them and to the person who is, or was, involved in a specific case. The ombudsperson can be released from their duty of confidentiality if the safety of the staff, students or the ombudsperson is threatened.</w:t>
      </w:r>
    </w:p>
    <w:p w14:paraId="5F3E00CE" w14:textId="77777777" w:rsidR="006133EB" w:rsidRPr="00897AC5" w:rsidRDefault="006133EB" w:rsidP="001661B4">
      <w:pPr>
        <w:autoSpaceDE w:val="0"/>
        <w:autoSpaceDN w:val="0"/>
        <w:adjustRightInd w:val="0"/>
        <w:spacing w:line="276" w:lineRule="auto"/>
        <w:rPr>
          <w:rFonts w:ascii="Verdana" w:hAnsi="Verdana" w:cs="Arial"/>
          <w:b/>
          <w:bCs/>
          <w:color w:val="000000"/>
          <w:sz w:val="18"/>
          <w:szCs w:val="18"/>
          <w:lang w:val="en-US"/>
        </w:rPr>
      </w:pPr>
    </w:p>
    <w:p w14:paraId="4559201E" w14:textId="7202AE5F" w:rsidR="006133EB" w:rsidRPr="00897AC5" w:rsidRDefault="003E3A67" w:rsidP="003E3A67">
      <w:pPr>
        <w:pStyle w:val="Kop1"/>
        <w:rPr>
          <w:rFonts w:ascii="Verdana" w:hAnsi="Verdana"/>
          <w:sz w:val="24"/>
          <w:szCs w:val="24"/>
          <w:lang w:val="en-US"/>
        </w:rPr>
      </w:pPr>
      <w:bookmarkStart w:id="11" w:name="_Toc82534043"/>
      <w:r>
        <w:rPr>
          <w:rFonts w:ascii="Verdana" w:hAnsi="Verdana"/>
          <w:sz w:val="24"/>
          <w:szCs w:val="24"/>
          <w:lang w:val="en-GB"/>
        </w:rPr>
        <w:t>Article 11 – Archiving</w:t>
      </w:r>
      <w:bookmarkEnd w:id="11"/>
    </w:p>
    <w:p w14:paraId="4DF6CC12" w14:textId="283FCA15" w:rsidR="008B13BE" w:rsidRPr="00897AC5" w:rsidRDefault="008B13BE" w:rsidP="008B13BE">
      <w:pPr>
        <w:pStyle w:val="Plattetekst"/>
        <w:spacing w:line="276" w:lineRule="auto"/>
        <w:ind w:left="0" w:right="253"/>
        <w:rPr>
          <w:rFonts w:ascii="Verdana" w:hAnsi="Verdana"/>
          <w:sz w:val="18"/>
          <w:szCs w:val="18"/>
          <w:lang w:val="en-US"/>
        </w:rPr>
      </w:pPr>
      <w:r>
        <w:rPr>
          <w:rFonts w:ascii="Verdana" w:hAnsi="Verdana"/>
          <w:sz w:val="18"/>
          <w:szCs w:val="18"/>
          <w:lang w:val="en-GB"/>
        </w:rPr>
        <w:t>The data held by the ombudsperson is stored in accordance with the General Data Protection Regulation (AVG) and the archives act.</w:t>
      </w:r>
    </w:p>
    <w:p w14:paraId="0B6C064F" w14:textId="4A3AC339" w:rsidR="003E3A67" w:rsidRPr="00897AC5" w:rsidRDefault="003E3A67" w:rsidP="003E3A67">
      <w:pPr>
        <w:spacing w:line="276" w:lineRule="auto"/>
        <w:rPr>
          <w:rFonts w:ascii="Verdana" w:hAnsi="Verdana" w:cs="Museo Sans 100"/>
          <w:color w:val="000000"/>
          <w:sz w:val="18"/>
          <w:szCs w:val="18"/>
          <w:lang w:val="en-US"/>
        </w:rPr>
      </w:pPr>
    </w:p>
    <w:p w14:paraId="1334B6E6" w14:textId="7B0C0F54" w:rsidR="003E3A67" w:rsidRPr="00897AC5" w:rsidRDefault="003E3A67" w:rsidP="003E3A67">
      <w:pPr>
        <w:pStyle w:val="Kop1"/>
        <w:rPr>
          <w:rFonts w:ascii="Verdana" w:hAnsi="Verdana"/>
          <w:sz w:val="24"/>
          <w:szCs w:val="24"/>
          <w:lang w:val="en-US"/>
        </w:rPr>
      </w:pPr>
      <w:bookmarkStart w:id="12" w:name="_Toc82534044"/>
      <w:r>
        <w:rPr>
          <w:rFonts w:ascii="Verdana" w:hAnsi="Verdana"/>
          <w:sz w:val="24"/>
          <w:szCs w:val="24"/>
          <w:lang w:val="en-GB"/>
        </w:rPr>
        <w:t>Article 12 – Protection</w:t>
      </w:r>
      <w:bookmarkEnd w:id="12"/>
      <w:r>
        <w:rPr>
          <w:rFonts w:ascii="Museo Sans 100" w:hAnsi="Museo Sans 100"/>
          <w:color w:val="000000"/>
          <w:sz w:val="23"/>
          <w:szCs w:val="23"/>
          <w:lang w:val="en-GB"/>
        </w:rPr>
        <w:t xml:space="preserve"> </w:t>
      </w:r>
    </w:p>
    <w:p w14:paraId="3337BD4D" w14:textId="1541CEF8" w:rsidR="003E3A67" w:rsidRPr="00897AC5" w:rsidRDefault="003E3A67" w:rsidP="00A717A7">
      <w:pPr>
        <w:spacing w:line="276" w:lineRule="auto"/>
        <w:rPr>
          <w:rFonts w:ascii="Verdana" w:hAnsi="Verdana"/>
          <w:sz w:val="18"/>
          <w:szCs w:val="18"/>
          <w:lang w:val="en-US"/>
        </w:rPr>
      </w:pPr>
      <w:r>
        <w:rPr>
          <w:rFonts w:ascii="Verdana" w:hAnsi="Verdana"/>
          <w:color w:val="000000"/>
          <w:sz w:val="18"/>
          <w:szCs w:val="18"/>
          <w:lang w:val="en-GB"/>
        </w:rPr>
        <w:t xml:space="preserve">Complainants who act in good faith, with due observance of the stipulations of the ombudsperson regulation, who have contacted the ombudsperson or have filed a report, shall not be disadvantaged in their position in any way insofar as that disadvantage would be the result of them contacting or filing reports with the ombudsperson. Employees who cooperate in </w:t>
      </w:r>
      <w:r>
        <w:rPr>
          <w:rFonts w:ascii="Verdana" w:hAnsi="Verdana"/>
          <w:sz w:val="18"/>
          <w:szCs w:val="18"/>
          <w:lang w:val="en-GB"/>
        </w:rPr>
        <w:t xml:space="preserve">investigations – by providing information, for example – are also protected and may not suffer any adverse consequences </w:t>
      </w:r>
      <w:proofErr w:type="gramStart"/>
      <w:r>
        <w:rPr>
          <w:rFonts w:ascii="Verdana" w:hAnsi="Verdana"/>
          <w:sz w:val="18"/>
          <w:szCs w:val="18"/>
          <w:lang w:val="en-GB"/>
        </w:rPr>
        <w:t>as a result of</w:t>
      </w:r>
      <w:proofErr w:type="gramEnd"/>
      <w:r>
        <w:rPr>
          <w:rFonts w:ascii="Verdana" w:hAnsi="Verdana"/>
          <w:sz w:val="18"/>
          <w:szCs w:val="18"/>
          <w:lang w:val="en-GB"/>
        </w:rPr>
        <w:t xml:space="preserve"> their cooperation in investigations.</w:t>
      </w:r>
    </w:p>
    <w:p w14:paraId="6E23C5FB" w14:textId="77777777" w:rsidR="003E3A67" w:rsidRPr="00897AC5" w:rsidRDefault="003E3A67" w:rsidP="003E3A67">
      <w:pPr>
        <w:rPr>
          <w:lang w:val="en-US"/>
        </w:rPr>
      </w:pPr>
    </w:p>
    <w:p w14:paraId="364B769C" w14:textId="45FF04F6" w:rsidR="00DD3E75" w:rsidRPr="00897AC5" w:rsidRDefault="00DD3E75" w:rsidP="008B13BE">
      <w:pPr>
        <w:pStyle w:val="Kop1"/>
        <w:rPr>
          <w:rFonts w:ascii="Verdana" w:hAnsi="Verdana"/>
          <w:sz w:val="24"/>
          <w:szCs w:val="24"/>
          <w:lang w:val="en-US"/>
        </w:rPr>
      </w:pPr>
      <w:bookmarkStart w:id="13" w:name="_Toc82534045"/>
      <w:r>
        <w:rPr>
          <w:rFonts w:ascii="Verdana" w:hAnsi="Verdana"/>
          <w:sz w:val="24"/>
          <w:szCs w:val="24"/>
          <w:lang w:val="en-GB"/>
        </w:rPr>
        <w:t>Article 13 – Official title of regulations and date of enactment</w:t>
      </w:r>
      <w:bookmarkEnd w:id="13"/>
      <w:r>
        <w:rPr>
          <w:rFonts w:ascii="Verdana" w:hAnsi="Verdana"/>
          <w:sz w:val="24"/>
          <w:szCs w:val="24"/>
          <w:lang w:val="en-GB"/>
        </w:rPr>
        <w:t xml:space="preserve"> </w:t>
      </w:r>
    </w:p>
    <w:p w14:paraId="3A1DF85A" w14:textId="690F76B9" w:rsidR="0046680C" w:rsidRPr="00897AC5" w:rsidRDefault="008B13BE" w:rsidP="008B13BE">
      <w:pPr>
        <w:spacing w:line="276" w:lineRule="auto"/>
        <w:rPr>
          <w:rFonts w:ascii="Verdana" w:hAnsi="Verdana"/>
          <w:sz w:val="18"/>
          <w:szCs w:val="18"/>
          <w:lang w:val="en-US"/>
        </w:rPr>
      </w:pPr>
      <w:r>
        <w:rPr>
          <w:rFonts w:ascii="Verdana" w:hAnsi="Verdana"/>
          <w:sz w:val="18"/>
          <w:szCs w:val="18"/>
          <w:lang w:val="en-GB"/>
        </w:rPr>
        <w:t>These regulations are officially cited as the ‘</w:t>
      </w:r>
      <w:r w:rsidR="00C16253">
        <w:rPr>
          <w:rFonts w:ascii="Verdana" w:hAnsi="Verdana"/>
          <w:sz w:val="18"/>
          <w:szCs w:val="18"/>
          <w:lang w:val="en-GB"/>
        </w:rPr>
        <w:t xml:space="preserve">WUR </w:t>
      </w:r>
      <w:r>
        <w:rPr>
          <w:rFonts w:ascii="Verdana" w:hAnsi="Verdana"/>
          <w:sz w:val="18"/>
          <w:szCs w:val="18"/>
          <w:lang w:val="en-GB"/>
        </w:rPr>
        <w:t>Ombudsperson Regulations</w:t>
      </w:r>
      <w:r w:rsidR="00C16253">
        <w:rPr>
          <w:rFonts w:ascii="Verdana" w:hAnsi="Verdana"/>
          <w:sz w:val="18"/>
          <w:szCs w:val="18"/>
          <w:lang w:val="en-GB"/>
        </w:rPr>
        <w:t>”</w:t>
      </w:r>
      <w:r>
        <w:rPr>
          <w:rFonts w:ascii="Verdana" w:hAnsi="Verdana"/>
          <w:sz w:val="18"/>
          <w:szCs w:val="18"/>
          <w:lang w:val="en-GB"/>
        </w:rPr>
        <w:t xml:space="preserve"> and have been adopted by decision of the Executive Board, dated </w:t>
      </w:r>
      <w:r w:rsidR="004E3DA4">
        <w:rPr>
          <w:rFonts w:ascii="Verdana" w:hAnsi="Verdana"/>
          <w:sz w:val="18"/>
          <w:szCs w:val="18"/>
          <w:lang w:val="en-GB"/>
        </w:rPr>
        <w:t xml:space="preserve">12 July </w:t>
      </w:r>
      <w:proofErr w:type="gramStart"/>
      <w:r w:rsidR="004E3DA4">
        <w:rPr>
          <w:rFonts w:ascii="Verdana" w:hAnsi="Verdana"/>
          <w:sz w:val="18"/>
          <w:szCs w:val="18"/>
          <w:lang w:val="en-GB"/>
        </w:rPr>
        <w:t>2021</w:t>
      </w:r>
      <w:proofErr w:type="gramEnd"/>
      <w:r>
        <w:rPr>
          <w:rFonts w:ascii="Verdana" w:hAnsi="Verdana"/>
          <w:sz w:val="18"/>
          <w:szCs w:val="18"/>
          <w:lang w:val="en-GB"/>
        </w:rPr>
        <w:t xml:space="preserve"> and enacted on 1</w:t>
      </w:r>
      <w:r w:rsidR="004E3DA4">
        <w:rPr>
          <w:rFonts w:ascii="Verdana" w:hAnsi="Verdana"/>
          <w:sz w:val="18"/>
          <w:szCs w:val="18"/>
          <w:lang w:val="en-GB"/>
        </w:rPr>
        <w:t>2</w:t>
      </w:r>
      <w:r>
        <w:rPr>
          <w:rFonts w:ascii="Verdana" w:hAnsi="Verdana"/>
          <w:sz w:val="18"/>
          <w:szCs w:val="18"/>
          <w:lang w:val="en-GB"/>
        </w:rPr>
        <w:t xml:space="preserve"> July 2021.</w:t>
      </w:r>
    </w:p>
    <w:p w14:paraId="42EE85D5" w14:textId="1F75D730" w:rsidR="00B9611B" w:rsidRDefault="00B9611B" w:rsidP="008B13BE">
      <w:pPr>
        <w:pStyle w:val="Kop1"/>
        <w:keepNext w:val="0"/>
        <w:keepLines w:val="0"/>
        <w:widowControl w:val="0"/>
        <w:tabs>
          <w:tab w:val="left" w:pos="280"/>
        </w:tabs>
        <w:autoSpaceDE w:val="0"/>
        <w:autoSpaceDN w:val="0"/>
        <w:spacing w:before="0" w:line="276" w:lineRule="auto"/>
        <w:rPr>
          <w:rFonts w:ascii="Verdana" w:hAnsi="Verdana"/>
          <w:sz w:val="18"/>
          <w:szCs w:val="18"/>
          <w:lang w:val="en-US"/>
        </w:rPr>
      </w:pPr>
    </w:p>
    <w:p w14:paraId="06CD1AF7" w14:textId="059036FF" w:rsidR="002262C3" w:rsidRDefault="002262C3" w:rsidP="002262C3">
      <w:pPr>
        <w:rPr>
          <w:lang w:val="en-US"/>
        </w:rPr>
      </w:pPr>
    </w:p>
    <w:p w14:paraId="089A9022" w14:textId="41C1D61C" w:rsidR="002262C3" w:rsidRPr="002262C3" w:rsidRDefault="002262C3" w:rsidP="00C16253">
      <w:pPr>
        <w:spacing w:line="276" w:lineRule="auto"/>
        <w:rPr>
          <w:lang w:val="en-US"/>
        </w:rPr>
      </w:pPr>
      <w:r w:rsidRPr="002262C3">
        <w:rPr>
          <w:rFonts w:ascii="Verdana" w:eastAsia="Times New Roman" w:hAnsi="Verdana" w:cs="Times New Roman"/>
          <w:color w:val="000000" w:themeColor="text1"/>
          <w:sz w:val="18"/>
          <w:szCs w:val="18"/>
          <w:lang w:val="en-US" w:eastAsia="nl-NL"/>
        </w:rPr>
        <w:t>In case of discrepancy between the wording of the Dutch "</w:t>
      </w:r>
      <w:proofErr w:type="spellStart"/>
      <w:r w:rsidR="00C16253" w:rsidRPr="00C16253">
        <w:rPr>
          <w:rFonts w:ascii="Verdana" w:hAnsi="Verdana"/>
          <w:sz w:val="18"/>
          <w:szCs w:val="18"/>
          <w:lang w:val="en-US"/>
        </w:rPr>
        <w:t>Regeling</w:t>
      </w:r>
      <w:proofErr w:type="spellEnd"/>
      <w:r w:rsidR="00C16253" w:rsidRPr="00C16253">
        <w:rPr>
          <w:rFonts w:ascii="Verdana" w:hAnsi="Verdana"/>
          <w:sz w:val="18"/>
          <w:szCs w:val="18"/>
          <w:lang w:val="en-US"/>
        </w:rPr>
        <w:t xml:space="preserve"> Ombudspersoon </w:t>
      </w:r>
      <w:r w:rsidR="00C16253">
        <w:rPr>
          <w:rFonts w:ascii="Verdana" w:hAnsi="Verdana"/>
          <w:sz w:val="18"/>
          <w:szCs w:val="18"/>
          <w:lang w:val="en-US"/>
        </w:rPr>
        <w:t xml:space="preserve">WUR” </w:t>
      </w:r>
      <w:r w:rsidRPr="002262C3">
        <w:rPr>
          <w:rFonts w:ascii="Verdana" w:eastAsia="Times New Roman" w:hAnsi="Verdana" w:cs="Times New Roman"/>
          <w:color w:val="000000" w:themeColor="text1"/>
          <w:sz w:val="18"/>
          <w:szCs w:val="18"/>
          <w:lang w:val="en-US" w:eastAsia="nl-NL"/>
        </w:rPr>
        <w:t xml:space="preserve">and </w:t>
      </w:r>
      <w:r>
        <w:rPr>
          <w:rFonts w:ascii="Verdana" w:eastAsia="Times New Roman" w:hAnsi="Verdana" w:cs="Times New Roman"/>
          <w:color w:val="000000" w:themeColor="text1"/>
          <w:sz w:val="18"/>
          <w:szCs w:val="18"/>
          <w:lang w:val="en-US" w:eastAsia="nl-NL"/>
        </w:rPr>
        <w:t xml:space="preserve">the </w:t>
      </w:r>
      <w:r w:rsidRPr="002262C3">
        <w:rPr>
          <w:rFonts w:ascii="Verdana" w:eastAsia="Times New Roman" w:hAnsi="Verdana" w:cs="Times New Roman"/>
          <w:color w:val="000000" w:themeColor="text1"/>
          <w:sz w:val="18"/>
          <w:szCs w:val="18"/>
          <w:lang w:val="en-US" w:eastAsia="nl-NL"/>
        </w:rPr>
        <w:t>wording of the English "WUR Ombudsperson Regulations", the wording of the Dutch "</w:t>
      </w:r>
      <w:proofErr w:type="spellStart"/>
      <w:r w:rsidR="00C302CB">
        <w:rPr>
          <w:rFonts w:ascii="Verdana" w:eastAsia="Times New Roman" w:hAnsi="Verdana" w:cs="Times New Roman"/>
          <w:color w:val="000000" w:themeColor="text1"/>
          <w:sz w:val="18"/>
          <w:szCs w:val="18"/>
          <w:lang w:val="en-US" w:eastAsia="nl-NL"/>
        </w:rPr>
        <w:t>Regeling</w:t>
      </w:r>
      <w:proofErr w:type="spellEnd"/>
      <w:r w:rsidR="00C302CB">
        <w:rPr>
          <w:rFonts w:ascii="Verdana" w:eastAsia="Times New Roman" w:hAnsi="Verdana" w:cs="Times New Roman"/>
          <w:color w:val="000000" w:themeColor="text1"/>
          <w:sz w:val="18"/>
          <w:szCs w:val="18"/>
          <w:lang w:val="en-US" w:eastAsia="nl-NL"/>
        </w:rPr>
        <w:t xml:space="preserve"> Ombudspersoon</w:t>
      </w:r>
      <w:r w:rsidR="00C16253">
        <w:rPr>
          <w:rFonts w:ascii="Verdana" w:eastAsia="Times New Roman" w:hAnsi="Verdana" w:cs="Times New Roman"/>
          <w:color w:val="000000" w:themeColor="text1"/>
          <w:sz w:val="18"/>
          <w:szCs w:val="18"/>
          <w:lang w:val="en-US" w:eastAsia="nl-NL"/>
        </w:rPr>
        <w:t xml:space="preserve"> WUR</w:t>
      </w:r>
      <w:r w:rsidRPr="002262C3">
        <w:rPr>
          <w:rFonts w:ascii="Verdana" w:eastAsia="Times New Roman" w:hAnsi="Verdana" w:cs="Times New Roman"/>
          <w:color w:val="000000" w:themeColor="text1"/>
          <w:sz w:val="18"/>
          <w:szCs w:val="18"/>
          <w:lang w:val="en-US" w:eastAsia="nl-NL"/>
        </w:rPr>
        <w:t>" prevails.</w:t>
      </w:r>
    </w:p>
    <w:sectPr w:rsidR="002262C3" w:rsidRPr="002262C3" w:rsidSect="009423DB">
      <w:headerReference w:type="even" r:id="rId8"/>
      <w:headerReference w:type="default" r:id="rId9"/>
      <w:footerReference w:type="even" r:id="rId10"/>
      <w:footerReference w:type="default" r:id="rId11"/>
      <w:headerReference w:type="first" r:id="rId12"/>
      <w:footerReference w:type="first" r:id="rId13"/>
      <w:pgSz w:w="11909" w:h="16838"/>
      <w:pgMar w:top="697" w:right="1933" w:bottom="1605" w:left="1336"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9E4B0" w14:textId="77777777" w:rsidR="000F5D87" w:rsidRDefault="000F5D87" w:rsidP="009423DB">
      <w:r>
        <w:separator/>
      </w:r>
    </w:p>
  </w:endnote>
  <w:endnote w:type="continuationSeparator" w:id="0">
    <w:p w14:paraId="0FAD9A2E" w14:textId="77777777" w:rsidR="000F5D87" w:rsidRDefault="000F5D87" w:rsidP="0094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100">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642015352"/>
      <w:docPartObj>
        <w:docPartGallery w:val="Page Numbers (Bottom of Page)"/>
        <w:docPartUnique/>
      </w:docPartObj>
    </w:sdtPr>
    <w:sdtEndPr>
      <w:rPr>
        <w:rStyle w:val="Paginanummer"/>
      </w:rPr>
    </w:sdtEndPr>
    <w:sdtContent>
      <w:p w14:paraId="565B6917" w14:textId="7F0237C6" w:rsidR="009423DB" w:rsidRDefault="009423DB" w:rsidP="00A84B87">
        <w:pPr>
          <w:pStyle w:val="Voettekst"/>
          <w:framePr w:wrap="none" w:vAnchor="text" w:hAnchor="margin" w:xAlign="right" w:y="1"/>
          <w:rPr>
            <w:rStyle w:val="Paginanummer"/>
          </w:rPr>
        </w:pPr>
        <w:r>
          <w:rPr>
            <w:rStyle w:val="Paginanummer"/>
            <w:lang w:val="en-GB"/>
          </w:rPr>
          <w:fldChar w:fldCharType="begin"/>
        </w:r>
        <w:r>
          <w:rPr>
            <w:rStyle w:val="Paginanummer"/>
            <w:lang w:val="en-GB"/>
          </w:rPr>
          <w:instrText xml:space="preserve"> PAGE </w:instrText>
        </w:r>
        <w:r>
          <w:rPr>
            <w:rStyle w:val="Paginanummer"/>
            <w:lang w:val="en-GB"/>
          </w:rPr>
          <w:fldChar w:fldCharType="end"/>
        </w:r>
      </w:p>
    </w:sdtContent>
  </w:sdt>
  <w:p w14:paraId="02822894" w14:textId="77777777" w:rsidR="009423DB" w:rsidRDefault="009423DB" w:rsidP="009423D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145377394"/>
      <w:docPartObj>
        <w:docPartGallery w:val="Page Numbers (Bottom of Page)"/>
        <w:docPartUnique/>
      </w:docPartObj>
    </w:sdtPr>
    <w:sdtEndPr>
      <w:rPr>
        <w:rStyle w:val="Paginanummer"/>
      </w:rPr>
    </w:sdtEndPr>
    <w:sdtContent>
      <w:p w14:paraId="71B9241F" w14:textId="03CE5206" w:rsidR="009423DB" w:rsidRDefault="009423DB" w:rsidP="00A84B87">
        <w:pPr>
          <w:pStyle w:val="Voettekst"/>
          <w:framePr w:wrap="none" w:vAnchor="text" w:hAnchor="margin" w:xAlign="right" w:y="1"/>
          <w:rPr>
            <w:rStyle w:val="Paginanummer"/>
          </w:rPr>
        </w:pPr>
        <w:r>
          <w:rPr>
            <w:rStyle w:val="Paginanummer"/>
            <w:rFonts w:ascii="Verdana" w:hAnsi="Verdana"/>
            <w:sz w:val="16"/>
            <w:szCs w:val="16"/>
            <w:lang w:val="en-GB"/>
          </w:rPr>
          <w:fldChar w:fldCharType="begin"/>
        </w:r>
        <w:r>
          <w:rPr>
            <w:rStyle w:val="Paginanummer"/>
            <w:rFonts w:ascii="Verdana" w:hAnsi="Verdana"/>
            <w:sz w:val="16"/>
            <w:szCs w:val="16"/>
            <w:lang w:val="en-GB"/>
          </w:rPr>
          <w:instrText xml:space="preserve"> PAGE </w:instrText>
        </w:r>
        <w:r>
          <w:rPr>
            <w:rStyle w:val="Paginanummer"/>
            <w:rFonts w:ascii="Verdana" w:hAnsi="Verdana"/>
            <w:sz w:val="16"/>
            <w:szCs w:val="16"/>
            <w:lang w:val="en-GB"/>
          </w:rPr>
          <w:fldChar w:fldCharType="separate"/>
        </w:r>
        <w:r>
          <w:rPr>
            <w:rStyle w:val="Paginanummer"/>
            <w:rFonts w:ascii="Verdana" w:hAnsi="Verdana"/>
            <w:noProof/>
            <w:sz w:val="16"/>
            <w:szCs w:val="16"/>
            <w:lang w:val="en-GB"/>
          </w:rPr>
          <w:t>2</w:t>
        </w:r>
        <w:r>
          <w:rPr>
            <w:rStyle w:val="Paginanummer"/>
            <w:rFonts w:ascii="Verdana" w:hAnsi="Verdana"/>
            <w:sz w:val="16"/>
            <w:szCs w:val="16"/>
            <w:lang w:val="en-GB"/>
          </w:rPr>
          <w:fldChar w:fldCharType="end"/>
        </w:r>
      </w:p>
    </w:sdtContent>
  </w:sdt>
  <w:p w14:paraId="6077DF29" w14:textId="77777777" w:rsidR="009423DB" w:rsidRDefault="009423DB" w:rsidP="009423DB">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66C4" w14:textId="77777777" w:rsidR="004C6787" w:rsidRDefault="004C67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11B50" w14:textId="77777777" w:rsidR="000F5D87" w:rsidRDefault="000F5D87" w:rsidP="009423DB">
      <w:r>
        <w:separator/>
      </w:r>
    </w:p>
  </w:footnote>
  <w:footnote w:type="continuationSeparator" w:id="0">
    <w:p w14:paraId="0279E85A" w14:textId="77777777" w:rsidR="000F5D87" w:rsidRDefault="000F5D87" w:rsidP="00942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52A9" w14:textId="61FE8C6C" w:rsidR="004C6787" w:rsidRDefault="004C678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B0DD" w14:textId="7D5DF0C2" w:rsidR="004C6787" w:rsidRDefault="004C678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F7EB" w14:textId="70860F1C" w:rsidR="004C6787" w:rsidRDefault="004C678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A81"/>
    <w:multiLevelType w:val="multilevel"/>
    <w:tmpl w:val="26F03D2A"/>
    <w:lvl w:ilvl="0">
      <w:start w:val="2"/>
      <w:numFmt w:val="decimal"/>
      <w:lvlText w:val="%1"/>
      <w:lvlJc w:val="left"/>
      <w:pPr>
        <w:ind w:left="543" w:hanging="428"/>
      </w:pPr>
      <w:rPr>
        <w:rFonts w:hint="default"/>
      </w:rPr>
    </w:lvl>
    <w:lvl w:ilvl="1">
      <w:start w:val="5"/>
      <w:numFmt w:val="decimal"/>
      <w:lvlText w:val="%1.%2"/>
      <w:lvlJc w:val="left"/>
      <w:pPr>
        <w:ind w:left="543" w:hanging="428"/>
      </w:pPr>
      <w:rPr>
        <w:rFonts w:ascii="Georgia" w:eastAsia="Calibri" w:hAnsi="Georgia" w:cs="Calibri" w:hint="default"/>
        <w:color w:val="auto"/>
        <w:spacing w:val="-1"/>
        <w:w w:val="100"/>
        <w:sz w:val="20"/>
        <w:szCs w:val="20"/>
      </w:rPr>
    </w:lvl>
    <w:lvl w:ilvl="2">
      <w:numFmt w:val="bullet"/>
      <w:lvlText w:val="•"/>
      <w:lvlJc w:val="left"/>
      <w:pPr>
        <w:ind w:left="2299" w:hanging="428"/>
      </w:pPr>
      <w:rPr>
        <w:rFonts w:hint="default"/>
      </w:rPr>
    </w:lvl>
    <w:lvl w:ilvl="3">
      <w:numFmt w:val="bullet"/>
      <w:lvlText w:val="•"/>
      <w:lvlJc w:val="left"/>
      <w:pPr>
        <w:ind w:left="3179" w:hanging="428"/>
      </w:pPr>
      <w:rPr>
        <w:rFonts w:hint="default"/>
      </w:rPr>
    </w:lvl>
    <w:lvl w:ilvl="4">
      <w:numFmt w:val="bullet"/>
      <w:lvlText w:val="•"/>
      <w:lvlJc w:val="left"/>
      <w:pPr>
        <w:ind w:left="4059" w:hanging="428"/>
      </w:pPr>
      <w:rPr>
        <w:rFonts w:hint="default"/>
      </w:rPr>
    </w:lvl>
    <w:lvl w:ilvl="5">
      <w:numFmt w:val="bullet"/>
      <w:lvlText w:val="•"/>
      <w:lvlJc w:val="left"/>
      <w:pPr>
        <w:ind w:left="4939" w:hanging="428"/>
      </w:pPr>
      <w:rPr>
        <w:rFonts w:hint="default"/>
      </w:rPr>
    </w:lvl>
    <w:lvl w:ilvl="6">
      <w:numFmt w:val="bullet"/>
      <w:lvlText w:val="•"/>
      <w:lvlJc w:val="left"/>
      <w:pPr>
        <w:ind w:left="5819" w:hanging="428"/>
      </w:pPr>
      <w:rPr>
        <w:rFonts w:hint="default"/>
      </w:rPr>
    </w:lvl>
    <w:lvl w:ilvl="7">
      <w:numFmt w:val="bullet"/>
      <w:lvlText w:val="•"/>
      <w:lvlJc w:val="left"/>
      <w:pPr>
        <w:ind w:left="6699" w:hanging="428"/>
      </w:pPr>
      <w:rPr>
        <w:rFonts w:hint="default"/>
      </w:rPr>
    </w:lvl>
    <w:lvl w:ilvl="8">
      <w:numFmt w:val="bullet"/>
      <w:lvlText w:val="•"/>
      <w:lvlJc w:val="left"/>
      <w:pPr>
        <w:ind w:left="7579" w:hanging="428"/>
      </w:pPr>
      <w:rPr>
        <w:rFonts w:hint="default"/>
      </w:rPr>
    </w:lvl>
  </w:abstractNum>
  <w:abstractNum w:abstractNumId="1" w15:restartNumberingAfterBreak="0">
    <w:nsid w:val="04567BC1"/>
    <w:multiLevelType w:val="hybridMultilevel"/>
    <w:tmpl w:val="91A875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6274189"/>
    <w:multiLevelType w:val="hybridMultilevel"/>
    <w:tmpl w:val="C5B8BA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FD360B"/>
    <w:multiLevelType w:val="hybridMultilevel"/>
    <w:tmpl w:val="1BB8E8F6"/>
    <w:lvl w:ilvl="0" w:tplc="F1723DF6">
      <w:start w:val="1"/>
      <w:numFmt w:val="decimal"/>
      <w:lvlText w:val="%1."/>
      <w:lvlJc w:val="left"/>
      <w:pPr>
        <w:ind w:left="360" w:hanging="360"/>
      </w:pPr>
      <w:rPr>
        <w:rFonts w:asciiTheme="minorHAnsi" w:hAnsiTheme="minorHAnsi" w:cstheme="minorBidi" w:hint="default"/>
        <w:color w:val="auto"/>
        <w:sz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FA566EC"/>
    <w:multiLevelType w:val="hybridMultilevel"/>
    <w:tmpl w:val="648498D8"/>
    <w:lvl w:ilvl="0" w:tplc="9EF6E5FA">
      <w:numFmt w:val="bullet"/>
      <w:lvlText w:val="-"/>
      <w:lvlJc w:val="left"/>
      <w:pPr>
        <w:ind w:left="720" w:hanging="360"/>
      </w:pPr>
      <w:rPr>
        <w:rFonts w:ascii="Verdana" w:eastAsiaTheme="minorHAnsi" w:hAnsi="Verdana" w:cs="Verdana" w:hint="default"/>
      </w:rPr>
    </w:lvl>
    <w:lvl w:ilvl="1" w:tplc="21FE5C20">
      <w:numFmt w:val="bullet"/>
      <w:lvlText w:val=""/>
      <w:lvlJc w:val="left"/>
      <w:pPr>
        <w:ind w:left="1440" w:hanging="360"/>
      </w:pPr>
      <w:rPr>
        <w:rFonts w:ascii="Symbol" w:eastAsiaTheme="minorHAnsi" w:hAnsi="Symbol" w:cs="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F71E0B"/>
    <w:multiLevelType w:val="hybridMultilevel"/>
    <w:tmpl w:val="9C90E240"/>
    <w:lvl w:ilvl="0" w:tplc="971EC44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7D7598"/>
    <w:multiLevelType w:val="multilevel"/>
    <w:tmpl w:val="4F862AB0"/>
    <w:lvl w:ilvl="0">
      <w:start w:val="1"/>
      <w:numFmt w:val="decimal"/>
      <w:lvlText w:val="%1."/>
      <w:lvlJc w:val="left"/>
      <w:pPr>
        <w:ind w:left="360" w:hanging="360"/>
      </w:pPr>
      <w:rPr>
        <w:rFonts w:ascii="Verdana" w:hAnsi="Verdana" w:cstheme="minorBidi" w:hint="default"/>
        <w:color w:val="auto"/>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3A015AF"/>
    <w:multiLevelType w:val="hybridMultilevel"/>
    <w:tmpl w:val="11BA4C18"/>
    <w:lvl w:ilvl="0" w:tplc="6E4A9792">
      <w:start w:val="15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B943F8"/>
    <w:multiLevelType w:val="hybridMultilevel"/>
    <w:tmpl w:val="8C0628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528435C"/>
    <w:multiLevelType w:val="multilevel"/>
    <w:tmpl w:val="A9A6DC1C"/>
    <w:lvl w:ilvl="0">
      <w:start w:val="1"/>
      <w:numFmt w:val="bullet"/>
      <w:lvlText w:val=""/>
      <w:lvlJc w:val="left"/>
      <w:pPr>
        <w:tabs>
          <w:tab w:val="num" w:pos="903"/>
        </w:tabs>
        <w:ind w:left="903" w:hanging="360"/>
      </w:pPr>
      <w:rPr>
        <w:rFonts w:ascii="Symbol" w:hAnsi="Symbol" w:hint="default"/>
        <w:sz w:val="20"/>
      </w:rPr>
    </w:lvl>
    <w:lvl w:ilvl="1">
      <w:start w:val="6"/>
      <w:numFmt w:val="decimal"/>
      <w:lvlText w:val="%2"/>
      <w:lvlJc w:val="left"/>
      <w:pPr>
        <w:ind w:left="1623" w:hanging="360"/>
      </w:pPr>
      <w:rPr>
        <w:rFonts w:hint="default"/>
      </w:rPr>
    </w:lvl>
    <w:lvl w:ilvl="2" w:tentative="1">
      <w:start w:val="1"/>
      <w:numFmt w:val="bullet"/>
      <w:lvlText w:val=""/>
      <w:lvlJc w:val="left"/>
      <w:pPr>
        <w:tabs>
          <w:tab w:val="num" w:pos="2343"/>
        </w:tabs>
        <w:ind w:left="2343" w:hanging="360"/>
      </w:pPr>
      <w:rPr>
        <w:rFonts w:ascii="Wingdings" w:hAnsi="Wingdings" w:hint="default"/>
        <w:sz w:val="20"/>
      </w:rPr>
    </w:lvl>
    <w:lvl w:ilvl="3" w:tentative="1">
      <w:start w:val="1"/>
      <w:numFmt w:val="bullet"/>
      <w:lvlText w:val=""/>
      <w:lvlJc w:val="left"/>
      <w:pPr>
        <w:tabs>
          <w:tab w:val="num" w:pos="3063"/>
        </w:tabs>
        <w:ind w:left="3063" w:hanging="360"/>
      </w:pPr>
      <w:rPr>
        <w:rFonts w:ascii="Wingdings" w:hAnsi="Wingdings" w:hint="default"/>
        <w:sz w:val="20"/>
      </w:rPr>
    </w:lvl>
    <w:lvl w:ilvl="4" w:tentative="1">
      <w:start w:val="1"/>
      <w:numFmt w:val="bullet"/>
      <w:lvlText w:val=""/>
      <w:lvlJc w:val="left"/>
      <w:pPr>
        <w:tabs>
          <w:tab w:val="num" w:pos="3783"/>
        </w:tabs>
        <w:ind w:left="3783" w:hanging="360"/>
      </w:pPr>
      <w:rPr>
        <w:rFonts w:ascii="Wingdings" w:hAnsi="Wingdings" w:hint="default"/>
        <w:sz w:val="20"/>
      </w:rPr>
    </w:lvl>
    <w:lvl w:ilvl="5" w:tentative="1">
      <w:start w:val="1"/>
      <w:numFmt w:val="bullet"/>
      <w:lvlText w:val=""/>
      <w:lvlJc w:val="left"/>
      <w:pPr>
        <w:tabs>
          <w:tab w:val="num" w:pos="4503"/>
        </w:tabs>
        <w:ind w:left="4503" w:hanging="360"/>
      </w:pPr>
      <w:rPr>
        <w:rFonts w:ascii="Wingdings" w:hAnsi="Wingdings" w:hint="default"/>
        <w:sz w:val="20"/>
      </w:rPr>
    </w:lvl>
    <w:lvl w:ilvl="6" w:tentative="1">
      <w:start w:val="1"/>
      <w:numFmt w:val="bullet"/>
      <w:lvlText w:val=""/>
      <w:lvlJc w:val="left"/>
      <w:pPr>
        <w:tabs>
          <w:tab w:val="num" w:pos="5223"/>
        </w:tabs>
        <w:ind w:left="5223" w:hanging="360"/>
      </w:pPr>
      <w:rPr>
        <w:rFonts w:ascii="Wingdings" w:hAnsi="Wingdings" w:hint="default"/>
        <w:sz w:val="20"/>
      </w:rPr>
    </w:lvl>
    <w:lvl w:ilvl="7" w:tentative="1">
      <w:start w:val="1"/>
      <w:numFmt w:val="bullet"/>
      <w:lvlText w:val=""/>
      <w:lvlJc w:val="left"/>
      <w:pPr>
        <w:tabs>
          <w:tab w:val="num" w:pos="5943"/>
        </w:tabs>
        <w:ind w:left="5943" w:hanging="360"/>
      </w:pPr>
      <w:rPr>
        <w:rFonts w:ascii="Wingdings" w:hAnsi="Wingdings" w:hint="default"/>
        <w:sz w:val="20"/>
      </w:rPr>
    </w:lvl>
    <w:lvl w:ilvl="8" w:tentative="1">
      <w:start w:val="1"/>
      <w:numFmt w:val="bullet"/>
      <w:lvlText w:val=""/>
      <w:lvlJc w:val="left"/>
      <w:pPr>
        <w:tabs>
          <w:tab w:val="num" w:pos="6663"/>
        </w:tabs>
        <w:ind w:left="6663" w:hanging="360"/>
      </w:pPr>
      <w:rPr>
        <w:rFonts w:ascii="Wingdings" w:hAnsi="Wingdings" w:hint="default"/>
        <w:sz w:val="20"/>
      </w:rPr>
    </w:lvl>
  </w:abstractNum>
  <w:abstractNum w:abstractNumId="10" w15:restartNumberingAfterBreak="0">
    <w:nsid w:val="15CC7761"/>
    <w:multiLevelType w:val="hybridMultilevel"/>
    <w:tmpl w:val="40E61226"/>
    <w:lvl w:ilvl="0" w:tplc="7BBEBF5A">
      <w:start w:val="1"/>
      <w:numFmt w:val="decimal"/>
      <w:lvlText w:val="%1."/>
      <w:lvlJc w:val="left"/>
      <w:pPr>
        <w:ind w:left="360" w:hanging="360"/>
      </w:pPr>
      <w:rPr>
        <w:rFonts w:ascii="Verdana" w:hAnsi="Verdana" w:cstheme="minorBidi" w:hint="default"/>
        <w:strike w:val="0"/>
        <w:color w:val="auto"/>
        <w:sz w:val="18"/>
        <w:szCs w:val="18"/>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7FE1AF7"/>
    <w:multiLevelType w:val="hybridMultilevel"/>
    <w:tmpl w:val="DD26A17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C255C6F"/>
    <w:multiLevelType w:val="hybridMultilevel"/>
    <w:tmpl w:val="01C4FC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DBE0B2E"/>
    <w:multiLevelType w:val="hybridMultilevel"/>
    <w:tmpl w:val="42088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FC3977"/>
    <w:multiLevelType w:val="hybridMultilevel"/>
    <w:tmpl w:val="B1B27C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94C6508"/>
    <w:multiLevelType w:val="hybridMultilevel"/>
    <w:tmpl w:val="56F6A8F2"/>
    <w:lvl w:ilvl="0" w:tplc="D048F0BA">
      <w:start w:val="1"/>
      <w:numFmt w:val="decimal"/>
      <w:lvlText w:val="%1."/>
      <w:lvlJc w:val="left"/>
      <w:pPr>
        <w:ind w:left="720" w:hanging="360"/>
      </w:pPr>
      <w:rPr>
        <w:rFonts w:ascii="Verdana" w:hAnsi="Verdana" w:cstheme="minorBidi" w:hint="default"/>
        <w:color w:val="auto"/>
        <w:sz w:val="18"/>
        <w:szCs w:val="18"/>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C67059A"/>
    <w:multiLevelType w:val="hybridMultilevel"/>
    <w:tmpl w:val="2C787A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3D7FC1"/>
    <w:multiLevelType w:val="hybridMultilevel"/>
    <w:tmpl w:val="EE0CD26E"/>
    <w:lvl w:ilvl="0" w:tplc="44086482">
      <w:start w:val="1"/>
      <w:numFmt w:val="decimal"/>
      <w:lvlText w:val="%1"/>
      <w:lvlJc w:val="left"/>
      <w:pPr>
        <w:ind w:left="306" w:hanging="164"/>
      </w:pPr>
      <w:rPr>
        <w:rFonts w:ascii="Georgia" w:eastAsia="Calibri" w:hAnsi="Georgia" w:cs="Calibri" w:hint="default"/>
        <w:b/>
        <w:bCs/>
        <w:w w:val="100"/>
        <w:sz w:val="22"/>
        <w:szCs w:val="22"/>
        <w:lang w:val="nl-NL" w:eastAsia="en-US" w:bidi="ar-SA"/>
      </w:rPr>
    </w:lvl>
    <w:lvl w:ilvl="1" w:tplc="B90203C4">
      <w:start w:val="1"/>
      <w:numFmt w:val="lowerLetter"/>
      <w:lvlText w:val="%2."/>
      <w:lvlJc w:val="left"/>
      <w:pPr>
        <w:ind w:left="656" w:hanging="360"/>
      </w:pPr>
      <w:rPr>
        <w:rFonts w:hint="default"/>
        <w:spacing w:val="-1"/>
        <w:w w:val="100"/>
        <w:lang w:val="nl-NL" w:eastAsia="en-US" w:bidi="ar-SA"/>
      </w:rPr>
    </w:lvl>
    <w:lvl w:ilvl="2" w:tplc="C9A6A3D2">
      <w:numFmt w:val="bullet"/>
      <w:lvlText w:val="•"/>
      <w:lvlJc w:val="left"/>
      <w:pPr>
        <w:ind w:left="1624" w:hanging="360"/>
      </w:pPr>
      <w:rPr>
        <w:rFonts w:hint="default"/>
        <w:lang w:val="nl-NL" w:eastAsia="en-US" w:bidi="ar-SA"/>
      </w:rPr>
    </w:lvl>
    <w:lvl w:ilvl="3" w:tplc="251E6C30">
      <w:numFmt w:val="bullet"/>
      <w:lvlText w:val="•"/>
      <w:lvlJc w:val="left"/>
      <w:pPr>
        <w:ind w:left="2588" w:hanging="360"/>
      </w:pPr>
      <w:rPr>
        <w:rFonts w:hint="default"/>
        <w:lang w:val="nl-NL" w:eastAsia="en-US" w:bidi="ar-SA"/>
      </w:rPr>
    </w:lvl>
    <w:lvl w:ilvl="4" w:tplc="D0CE0EA0">
      <w:numFmt w:val="bullet"/>
      <w:lvlText w:val="•"/>
      <w:lvlJc w:val="left"/>
      <w:pPr>
        <w:ind w:left="3553" w:hanging="360"/>
      </w:pPr>
      <w:rPr>
        <w:rFonts w:hint="default"/>
        <w:lang w:val="nl-NL" w:eastAsia="en-US" w:bidi="ar-SA"/>
      </w:rPr>
    </w:lvl>
    <w:lvl w:ilvl="5" w:tplc="4B7A1232">
      <w:numFmt w:val="bullet"/>
      <w:lvlText w:val="•"/>
      <w:lvlJc w:val="left"/>
      <w:pPr>
        <w:ind w:left="4517" w:hanging="360"/>
      </w:pPr>
      <w:rPr>
        <w:rFonts w:hint="default"/>
        <w:lang w:val="nl-NL" w:eastAsia="en-US" w:bidi="ar-SA"/>
      </w:rPr>
    </w:lvl>
    <w:lvl w:ilvl="6" w:tplc="7E7845D2">
      <w:numFmt w:val="bullet"/>
      <w:lvlText w:val="•"/>
      <w:lvlJc w:val="left"/>
      <w:pPr>
        <w:ind w:left="5481" w:hanging="360"/>
      </w:pPr>
      <w:rPr>
        <w:rFonts w:hint="default"/>
        <w:lang w:val="nl-NL" w:eastAsia="en-US" w:bidi="ar-SA"/>
      </w:rPr>
    </w:lvl>
    <w:lvl w:ilvl="7" w:tplc="DC38F0C6">
      <w:numFmt w:val="bullet"/>
      <w:lvlText w:val="•"/>
      <w:lvlJc w:val="left"/>
      <w:pPr>
        <w:ind w:left="6446" w:hanging="360"/>
      </w:pPr>
      <w:rPr>
        <w:rFonts w:hint="default"/>
        <w:lang w:val="nl-NL" w:eastAsia="en-US" w:bidi="ar-SA"/>
      </w:rPr>
    </w:lvl>
    <w:lvl w:ilvl="8" w:tplc="9BFA3C4A">
      <w:numFmt w:val="bullet"/>
      <w:lvlText w:val="•"/>
      <w:lvlJc w:val="left"/>
      <w:pPr>
        <w:ind w:left="7410" w:hanging="360"/>
      </w:pPr>
      <w:rPr>
        <w:rFonts w:hint="default"/>
        <w:lang w:val="nl-NL" w:eastAsia="en-US" w:bidi="ar-SA"/>
      </w:rPr>
    </w:lvl>
  </w:abstractNum>
  <w:abstractNum w:abstractNumId="18" w15:restartNumberingAfterBreak="0">
    <w:nsid w:val="51B42658"/>
    <w:multiLevelType w:val="hybridMultilevel"/>
    <w:tmpl w:val="6BF2C4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B907761"/>
    <w:multiLevelType w:val="hybridMultilevel"/>
    <w:tmpl w:val="4F54CAB6"/>
    <w:lvl w:ilvl="0" w:tplc="3022D07A">
      <w:start w:val="1"/>
      <w:numFmt w:val="decimal"/>
      <w:lvlText w:val="%1."/>
      <w:lvlJc w:val="left"/>
      <w:pPr>
        <w:ind w:left="360" w:hanging="360"/>
      </w:pPr>
      <w:rPr>
        <w:rFonts w:ascii="Verdana" w:hAnsi="Verdana" w:cstheme="minorBidi" w:hint="default"/>
        <w:color w:val="auto"/>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17935B8"/>
    <w:multiLevelType w:val="hybridMultilevel"/>
    <w:tmpl w:val="6950B862"/>
    <w:lvl w:ilvl="0" w:tplc="3C666098">
      <w:start w:val="1"/>
      <w:numFmt w:val="decimal"/>
      <w:lvlText w:val="%1."/>
      <w:lvlJc w:val="left"/>
      <w:pPr>
        <w:ind w:left="360" w:hanging="360"/>
      </w:pPr>
      <w:rPr>
        <w:rFonts w:ascii="Verdana" w:hAnsi="Verdana" w:cstheme="minorBidi" w:hint="default"/>
        <w:color w:val="auto"/>
        <w:sz w:val="18"/>
        <w:szCs w:val="18"/>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B625D05"/>
    <w:multiLevelType w:val="multilevel"/>
    <w:tmpl w:val="7E9C9038"/>
    <w:lvl w:ilvl="0">
      <w:start w:val="2"/>
      <w:numFmt w:val="decimal"/>
      <w:lvlText w:val="%1"/>
      <w:lvlJc w:val="left"/>
      <w:pPr>
        <w:ind w:left="543" w:hanging="428"/>
      </w:pPr>
      <w:rPr>
        <w:rFonts w:hint="default"/>
        <w:lang w:val="nl-NL" w:eastAsia="en-US" w:bidi="ar-SA"/>
      </w:rPr>
    </w:lvl>
    <w:lvl w:ilvl="1">
      <w:start w:val="1"/>
      <w:numFmt w:val="decimal"/>
      <w:lvlText w:val="%1.%2"/>
      <w:lvlJc w:val="left"/>
      <w:pPr>
        <w:ind w:left="543" w:hanging="428"/>
      </w:pPr>
      <w:rPr>
        <w:rFonts w:ascii="Georgia" w:eastAsia="Calibri" w:hAnsi="Georgia" w:cs="Calibri" w:hint="default"/>
        <w:color w:val="auto"/>
        <w:spacing w:val="-1"/>
        <w:w w:val="100"/>
        <w:sz w:val="20"/>
        <w:szCs w:val="20"/>
        <w:lang w:val="nl-NL" w:eastAsia="en-US" w:bidi="ar-SA"/>
      </w:rPr>
    </w:lvl>
    <w:lvl w:ilvl="2">
      <w:numFmt w:val="bullet"/>
      <w:lvlText w:val="•"/>
      <w:lvlJc w:val="left"/>
      <w:pPr>
        <w:ind w:left="2299" w:hanging="428"/>
      </w:pPr>
      <w:rPr>
        <w:rFonts w:hint="default"/>
        <w:lang w:val="nl-NL" w:eastAsia="en-US" w:bidi="ar-SA"/>
      </w:rPr>
    </w:lvl>
    <w:lvl w:ilvl="3">
      <w:numFmt w:val="bullet"/>
      <w:lvlText w:val="•"/>
      <w:lvlJc w:val="left"/>
      <w:pPr>
        <w:ind w:left="3179" w:hanging="428"/>
      </w:pPr>
      <w:rPr>
        <w:rFonts w:hint="default"/>
        <w:lang w:val="nl-NL" w:eastAsia="en-US" w:bidi="ar-SA"/>
      </w:rPr>
    </w:lvl>
    <w:lvl w:ilvl="4">
      <w:numFmt w:val="bullet"/>
      <w:lvlText w:val="•"/>
      <w:lvlJc w:val="left"/>
      <w:pPr>
        <w:ind w:left="4059" w:hanging="428"/>
      </w:pPr>
      <w:rPr>
        <w:rFonts w:hint="default"/>
        <w:lang w:val="nl-NL" w:eastAsia="en-US" w:bidi="ar-SA"/>
      </w:rPr>
    </w:lvl>
    <w:lvl w:ilvl="5">
      <w:numFmt w:val="bullet"/>
      <w:lvlText w:val="•"/>
      <w:lvlJc w:val="left"/>
      <w:pPr>
        <w:ind w:left="4939" w:hanging="428"/>
      </w:pPr>
      <w:rPr>
        <w:rFonts w:hint="default"/>
        <w:lang w:val="nl-NL" w:eastAsia="en-US" w:bidi="ar-SA"/>
      </w:rPr>
    </w:lvl>
    <w:lvl w:ilvl="6">
      <w:numFmt w:val="bullet"/>
      <w:lvlText w:val="•"/>
      <w:lvlJc w:val="left"/>
      <w:pPr>
        <w:ind w:left="5819" w:hanging="428"/>
      </w:pPr>
      <w:rPr>
        <w:rFonts w:hint="default"/>
        <w:lang w:val="nl-NL" w:eastAsia="en-US" w:bidi="ar-SA"/>
      </w:rPr>
    </w:lvl>
    <w:lvl w:ilvl="7">
      <w:numFmt w:val="bullet"/>
      <w:lvlText w:val="•"/>
      <w:lvlJc w:val="left"/>
      <w:pPr>
        <w:ind w:left="6699" w:hanging="428"/>
      </w:pPr>
      <w:rPr>
        <w:rFonts w:hint="default"/>
        <w:lang w:val="nl-NL" w:eastAsia="en-US" w:bidi="ar-SA"/>
      </w:rPr>
    </w:lvl>
    <w:lvl w:ilvl="8">
      <w:numFmt w:val="bullet"/>
      <w:lvlText w:val="•"/>
      <w:lvlJc w:val="left"/>
      <w:pPr>
        <w:ind w:left="7579" w:hanging="428"/>
      </w:pPr>
      <w:rPr>
        <w:rFonts w:hint="default"/>
        <w:lang w:val="nl-NL" w:eastAsia="en-US" w:bidi="ar-SA"/>
      </w:rPr>
    </w:lvl>
  </w:abstractNum>
  <w:abstractNum w:abstractNumId="22" w15:restartNumberingAfterBreak="0">
    <w:nsid w:val="75A632BB"/>
    <w:multiLevelType w:val="hybridMultilevel"/>
    <w:tmpl w:val="BEEAC6D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8B80F6C"/>
    <w:multiLevelType w:val="hybridMultilevel"/>
    <w:tmpl w:val="3AD46A98"/>
    <w:lvl w:ilvl="0" w:tplc="B11C0244">
      <w:numFmt w:val="bullet"/>
      <w:lvlText w:val="-"/>
      <w:lvlJc w:val="left"/>
      <w:pPr>
        <w:ind w:left="720" w:hanging="360"/>
      </w:pPr>
      <w:rPr>
        <w:rFonts w:ascii="Georgia" w:eastAsia="Calibri" w:hAnsi="Georgia"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C1A3986"/>
    <w:multiLevelType w:val="hybridMultilevel"/>
    <w:tmpl w:val="008094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DD77723"/>
    <w:multiLevelType w:val="hybridMultilevel"/>
    <w:tmpl w:val="5D4EFA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2"/>
  </w:num>
  <w:num w:numId="2">
    <w:abstractNumId w:val="5"/>
  </w:num>
  <w:num w:numId="3">
    <w:abstractNumId w:val="15"/>
  </w:num>
  <w:num w:numId="4">
    <w:abstractNumId w:val="8"/>
  </w:num>
  <w:num w:numId="5">
    <w:abstractNumId w:val="20"/>
  </w:num>
  <w:num w:numId="6">
    <w:abstractNumId w:val="3"/>
  </w:num>
  <w:num w:numId="7">
    <w:abstractNumId w:val="17"/>
  </w:num>
  <w:num w:numId="8">
    <w:abstractNumId w:val="10"/>
  </w:num>
  <w:num w:numId="9">
    <w:abstractNumId w:val="21"/>
  </w:num>
  <w:num w:numId="10">
    <w:abstractNumId w:val="23"/>
  </w:num>
  <w:num w:numId="11">
    <w:abstractNumId w:val="9"/>
  </w:num>
  <w:num w:numId="12">
    <w:abstractNumId w:val="0"/>
  </w:num>
  <w:num w:numId="13">
    <w:abstractNumId w:val="13"/>
  </w:num>
  <w:num w:numId="14">
    <w:abstractNumId w:val="12"/>
  </w:num>
  <w:num w:numId="15">
    <w:abstractNumId w:val="1"/>
  </w:num>
  <w:num w:numId="16">
    <w:abstractNumId w:val="18"/>
  </w:num>
  <w:num w:numId="17">
    <w:abstractNumId w:val="11"/>
  </w:num>
  <w:num w:numId="18">
    <w:abstractNumId w:val="14"/>
  </w:num>
  <w:num w:numId="19">
    <w:abstractNumId w:val="16"/>
  </w:num>
  <w:num w:numId="20">
    <w:abstractNumId w:val="24"/>
  </w:num>
  <w:num w:numId="21">
    <w:abstractNumId w:val="25"/>
  </w:num>
  <w:num w:numId="22">
    <w:abstractNumId w:val="2"/>
  </w:num>
  <w:num w:numId="23">
    <w:abstractNumId w:val="7"/>
  </w:num>
  <w:num w:numId="24">
    <w:abstractNumId w:val="4"/>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hideSpellingErrors/>
  <w:hideGrammaticalErrors/>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65"/>
    <w:rsid w:val="000109DF"/>
    <w:rsid w:val="00055D5E"/>
    <w:rsid w:val="00070594"/>
    <w:rsid w:val="000A27AD"/>
    <w:rsid w:val="000C336C"/>
    <w:rsid w:val="000E10E5"/>
    <w:rsid w:val="000F101D"/>
    <w:rsid w:val="000F5D87"/>
    <w:rsid w:val="00152BD2"/>
    <w:rsid w:val="00161618"/>
    <w:rsid w:val="001661B4"/>
    <w:rsid w:val="00171DB5"/>
    <w:rsid w:val="00197011"/>
    <w:rsid w:val="001A0A5A"/>
    <w:rsid w:val="001A44FA"/>
    <w:rsid w:val="001A5ACF"/>
    <w:rsid w:val="001D263D"/>
    <w:rsid w:val="001F3F41"/>
    <w:rsid w:val="001F4A0E"/>
    <w:rsid w:val="002262C3"/>
    <w:rsid w:val="002B55A1"/>
    <w:rsid w:val="002C6034"/>
    <w:rsid w:val="002D3EBF"/>
    <w:rsid w:val="002D4A0C"/>
    <w:rsid w:val="002F5EB6"/>
    <w:rsid w:val="00337632"/>
    <w:rsid w:val="0034294D"/>
    <w:rsid w:val="00350549"/>
    <w:rsid w:val="00352190"/>
    <w:rsid w:val="00362DE6"/>
    <w:rsid w:val="003D0E81"/>
    <w:rsid w:val="003E3A67"/>
    <w:rsid w:val="004147BE"/>
    <w:rsid w:val="00430180"/>
    <w:rsid w:val="004466C6"/>
    <w:rsid w:val="00446EBA"/>
    <w:rsid w:val="0046680C"/>
    <w:rsid w:val="0047332B"/>
    <w:rsid w:val="00477BB7"/>
    <w:rsid w:val="0048089A"/>
    <w:rsid w:val="0048665F"/>
    <w:rsid w:val="004C35A0"/>
    <w:rsid w:val="004C6787"/>
    <w:rsid w:val="004E3DA4"/>
    <w:rsid w:val="004E4005"/>
    <w:rsid w:val="00530859"/>
    <w:rsid w:val="005367C2"/>
    <w:rsid w:val="00540550"/>
    <w:rsid w:val="00553AF4"/>
    <w:rsid w:val="00572183"/>
    <w:rsid w:val="00577285"/>
    <w:rsid w:val="005A062F"/>
    <w:rsid w:val="005A5CDD"/>
    <w:rsid w:val="005C1F52"/>
    <w:rsid w:val="005D60EF"/>
    <w:rsid w:val="005D690E"/>
    <w:rsid w:val="005E04DD"/>
    <w:rsid w:val="005F2EE2"/>
    <w:rsid w:val="0060422B"/>
    <w:rsid w:val="0060765B"/>
    <w:rsid w:val="006133EB"/>
    <w:rsid w:val="00613D5F"/>
    <w:rsid w:val="00615C74"/>
    <w:rsid w:val="00642CF1"/>
    <w:rsid w:val="006536E3"/>
    <w:rsid w:val="00664535"/>
    <w:rsid w:val="006E2A49"/>
    <w:rsid w:val="00724910"/>
    <w:rsid w:val="00725826"/>
    <w:rsid w:val="007344BC"/>
    <w:rsid w:val="00750354"/>
    <w:rsid w:val="007F495A"/>
    <w:rsid w:val="00800B5B"/>
    <w:rsid w:val="008063D3"/>
    <w:rsid w:val="008072D6"/>
    <w:rsid w:val="00825D3C"/>
    <w:rsid w:val="00831B91"/>
    <w:rsid w:val="00845904"/>
    <w:rsid w:val="00864200"/>
    <w:rsid w:val="00873045"/>
    <w:rsid w:val="0088587D"/>
    <w:rsid w:val="00887DAC"/>
    <w:rsid w:val="00897AC5"/>
    <w:rsid w:val="008B13BE"/>
    <w:rsid w:val="008C48A8"/>
    <w:rsid w:val="009124E4"/>
    <w:rsid w:val="00914451"/>
    <w:rsid w:val="0093101C"/>
    <w:rsid w:val="00937E2F"/>
    <w:rsid w:val="009423DB"/>
    <w:rsid w:val="009568EA"/>
    <w:rsid w:val="00962EA1"/>
    <w:rsid w:val="00970315"/>
    <w:rsid w:val="00985C31"/>
    <w:rsid w:val="009861C5"/>
    <w:rsid w:val="009C2A5E"/>
    <w:rsid w:val="009D25DD"/>
    <w:rsid w:val="009E1A0A"/>
    <w:rsid w:val="009F2213"/>
    <w:rsid w:val="00A06E5E"/>
    <w:rsid w:val="00A104E2"/>
    <w:rsid w:val="00A50DA3"/>
    <w:rsid w:val="00A66B40"/>
    <w:rsid w:val="00A717A7"/>
    <w:rsid w:val="00A86D5E"/>
    <w:rsid w:val="00AA32AE"/>
    <w:rsid w:val="00AD2DAB"/>
    <w:rsid w:val="00B24731"/>
    <w:rsid w:val="00B31A0F"/>
    <w:rsid w:val="00B46211"/>
    <w:rsid w:val="00B54F29"/>
    <w:rsid w:val="00B60E07"/>
    <w:rsid w:val="00B67FD2"/>
    <w:rsid w:val="00B75C0D"/>
    <w:rsid w:val="00B9611B"/>
    <w:rsid w:val="00B963C7"/>
    <w:rsid w:val="00BA79E2"/>
    <w:rsid w:val="00BB2F52"/>
    <w:rsid w:val="00BD33A4"/>
    <w:rsid w:val="00BF5336"/>
    <w:rsid w:val="00C03AB4"/>
    <w:rsid w:val="00C136D5"/>
    <w:rsid w:val="00C13975"/>
    <w:rsid w:val="00C1416D"/>
    <w:rsid w:val="00C1454E"/>
    <w:rsid w:val="00C16253"/>
    <w:rsid w:val="00C302CB"/>
    <w:rsid w:val="00C60256"/>
    <w:rsid w:val="00C63C53"/>
    <w:rsid w:val="00C67AF8"/>
    <w:rsid w:val="00C72DA4"/>
    <w:rsid w:val="00C84EB9"/>
    <w:rsid w:val="00C85165"/>
    <w:rsid w:val="00C9000C"/>
    <w:rsid w:val="00CC1BE0"/>
    <w:rsid w:val="00CD18A5"/>
    <w:rsid w:val="00D07CF1"/>
    <w:rsid w:val="00D1205F"/>
    <w:rsid w:val="00D141E7"/>
    <w:rsid w:val="00D2358D"/>
    <w:rsid w:val="00D429A6"/>
    <w:rsid w:val="00D569D0"/>
    <w:rsid w:val="00D646F0"/>
    <w:rsid w:val="00D73932"/>
    <w:rsid w:val="00D8224B"/>
    <w:rsid w:val="00DA3AD3"/>
    <w:rsid w:val="00DD3E75"/>
    <w:rsid w:val="00DE2502"/>
    <w:rsid w:val="00E21DDE"/>
    <w:rsid w:val="00E3370A"/>
    <w:rsid w:val="00E33CAE"/>
    <w:rsid w:val="00E64ADF"/>
    <w:rsid w:val="00EA11C1"/>
    <w:rsid w:val="00ED1385"/>
    <w:rsid w:val="00EE3D85"/>
    <w:rsid w:val="00EE7781"/>
    <w:rsid w:val="00EF28B3"/>
    <w:rsid w:val="00F22527"/>
    <w:rsid w:val="00F30FC4"/>
    <w:rsid w:val="00F31ED9"/>
    <w:rsid w:val="00F422F5"/>
    <w:rsid w:val="00F42D15"/>
    <w:rsid w:val="00F62E63"/>
    <w:rsid w:val="00F74D39"/>
    <w:rsid w:val="00F978D8"/>
    <w:rsid w:val="00FA2CD5"/>
    <w:rsid w:val="00FA76C7"/>
    <w:rsid w:val="00FB1C2D"/>
    <w:rsid w:val="00FD14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3028F"/>
  <w15:chartTrackingRefBased/>
  <w15:docId w15:val="{70E01EC9-E560-B443-A6E9-5094286E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3A67"/>
  </w:style>
  <w:style w:type="paragraph" w:styleId="Kop1">
    <w:name w:val="heading 1"/>
    <w:basedOn w:val="Standaard"/>
    <w:next w:val="Standaard"/>
    <w:link w:val="Kop1Char"/>
    <w:uiPriority w:val="9"/>
    <w:qFormat/>
    <w:rsid w:val="002B55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063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063D3"/>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60256"/>
    <w:pPr>
      <w:autoSpaceDE w:val="0"/>
      <w:autoSpaceDN w:val="0"/>
      <w:adjustRightInd w:val="0"/>
    </w:pPr>
    <w:rPr>
      <w:rFonts w:ascii="Verdana" w:hAnsi="Verdana" w:cs="Verdana"/>
      <w:color w:val="000000"/>
    </w:rPr>
  </w:style>
  <w:style w:type="paragraph" w:styleId="Lijstalinea">
    <w:name w:val="List Paragraph"/>
    <w:basedOn w:val="Standaard"/>
    <w:uiPriority w:val="1"/>
    <w:qFormat/>
    <w:rsid w:val="0048089A"/>
    <w:pPr>
      <w:ind w:left="720"/>
      <w:contextualSpacing/>
    </w:pPr>
  </w:style>
  <w:style w:type="character" w:customStyle="1" w:styleId="Kop1Char">
    <w:name w:val="Kop 1 Char"/>
    <w:basedOn w:val="Standaardalinea-lettertype"/>
    <w:link w:val="Kop1"/>
    <w:uiPriority w:val="9"/>
    <w:rsid w:val="002B55A1"/>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540550"/>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540550"/>
    <w:pPr>
      <w:spacing w:before="240" w:after="120"/>
    </w:pPr>
    <w:rPr>
      <w:b/>
      <w:bCs/>
      <w:sz w:val="20"/>
      <w:szCs w:val="20"/>
    </w:rPr>
  </w:style>
  <w:style w:type="character" w:styleId="Hyperlink">
    <w:name w:val="Hyperlink"/>
    <w:basedOn w:val="Standaardalinea-lettertype"/>
    <w:uiPriority w:val="99"/>
    <w:unhideWhenUsed/>
    <w:rsid w:val="00540550"/>
    <w:rPr>
      <w:color w:val="0563C1" w:themeColor="hyperlink"/>
      <w:u w:val="single"/>
    </w:rPr>
  </w:style>
  <w:style w:type="paragraph" w:styleId="Inhopg2">
    <w:name w:val="toc 2"/>
    <w:basedOn w:val="Standaard"/>
    <w:next w:val="Standaard"/>
    <w:autoRedefine/>
    <w:uiPriority w:val="39"/>
    <w:unhideWhenUsed/>
    <w:rsid w:val="00540550"/>
    <w:pPr>
      <w:spacing w:before="120"/>
      <w:ind w:left="240"/>
    </w:pPr>
    <w:rPr>
      <w:i/>
      <w:iCs/>
      <w:sz w:val="20"/>
      <w:szCs w:val="20"/>
    </w:rPr>
  </w:style>
  <w:style w:type="paragraph" w:styleId="Inhopg3">
    <w:name w:val="toc 3"/>
    <w:basedOn w:val="Standaard"/>
    <w:next w:val="Standaard"/>
    <w:autoRedefine/>
    <w:uiPriority w:val="39"/>
    <w:semiHidden/>
    <w:unhideWhenUsed/>
    <w:rsid w:val="00540550"/>
    <w:pPr>
      <w:ind w:left="480"/>
    </w:pPr>
    <w:rPr>
      <w:sz w:val="20"/>
      <w:szCs w:val="20"/>
    </w:rPr>
  </w:style>
  <w:style w:type="paragraph" w:styleId="Inhopg4">
    <w:name w:val="toc 4"/>
    <w:basedOn w:val="Standaard"/>
    <w:next w:val="Standaard"/>
    <w:autoRedefine/>
    <w:uiPriority w:val="39"/>
    <w:semiHidden/>
    <w:unhideWhenUsed/>
    <w:rsid w:val="00540550"/>
    <w:pPr>
      <w:ind w:left="720"/>
    </w:pPr>
    <w:rPr>
      <w:sz w:val="20"/>
      <w:szCs w:val="20"/>
    </w:rPr>
  </w:style>
  <w:style w:type="paragraph" w:styleId="Inhopg5">
    <w:name w:val="toc 5"/>
    <w:basedOn w:val="Standaard"/>
    <w:next w:val="Standaard"/>
    <w:autoRedefine/>
    <w:uiPriority w:val="39"/>
    <w:semiHidden/>
    <w:unhideWhenUsed/>
    <w:rsid w:val="00540550"/>
    <w:pPr>
      <w:ind w:left="960"/>
    </w:pPr>
    <w:rPr>
      <w:sz w:val="20"/>
      <w:szCs w:val="20"/>
    </w:rPr>
  </w:style>
  <w:style w:type="paragraph" w:styleId="Inhopg6">
    <w:name w:val="toc 6"/>
    <w:basedOn w:val="Standaard"/>
    <w:next w:val="Standaard"/>
    <w:autoRedefine/>
    <w:uiPriority w:val="39"/>
    <w:semiHidden/>
    <w:unhideWhenUsed/>
    <w:rsid w:val="00540550"/>
    <w:pPr>
      <w:ind w:left="1200"/>
    </w:pPr>
    <w:rPr>
      <w:sz w:val="20"/>
      <w:szCs w:val="20"/>
    </w:rPr>
  </w:style>
  <w:style w:type="paragraph" w:styleId="Inhopg7">
    <w:name w:val="toc 7"/>
    <w:basedOn w:val="Standaard"/>
    <w:next w:val="Standaard"/>
    <w:autoRedefine/>
    <w:uiPriority w:val="39"/>
    <w:semiHidden/>
    <w:unhideWhenUsed/>
    <w:rsid w:val="00540550"/>
    <w:pPr>
      <w:ind w:left="1440"/>
    </w:pPr>
    <w:rPr>
      <w:sz w:val="20"/>
      <w:szCs w:val="20"/>
    </w:rPr>
  </w:style>
  <w:style w:type="paragraph" w:styleId="Inhopg8">
    <w:name w:val="toc 8"/>
    <w:basedOn w:val="Standaard"/>
    <w:next w:val="Standaard"/>
    <w:autoRedefine/>
    <w:uiPriority w:val="39"/>
    <w:semiHidden/>
    <w:unhideWhenUsed/>
    <w:rsid w:val="00540550"/>
    <w:pPr>
      <w:ind w:left="1680"/>
    </w:pPr>
    <w:rPr>
      <w:sz w:val="20"/>
      <w:szCs w:val="20"/>
    </w:rPr>
  </w:style>
  <w:style w:type="paragraph" w:styleId="Inhopg9">
    <w:name w:val="toc 9"/>
    <w:basedOn w:val="Standaard"/>
    <w:next w:val="Standaard"/>
    <w:autoRedefine/>
    <w:uiPriority w:val="39"/>
    <w:semiHidden/>
    <w:unhideWhenUsed/>
    <w:rsid w:val="00540550"/>
    <w:pPr>
      <w:ind w:left="1920"/>
    </w:pPr>
    <w:rPr>
      <w:sz w:val="20"/>
      <w:szCs w:val="20"/>
    </w:rPr>
  </w:style>
  <w:style w:type="character" w:customStyle="1" w:styleId="Kop2Char">
    <w:name w:val="Kop 2 Char"/>
    <w:basedOn w:val="Standaardalinea-lettertype"/>
    <w:link w:val="Kop2"/>
    <w:uiPriority w:val="9"/>
    <w:rsid w:val="008063D3"/>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8063D3"/>
    <w:rPr>
      <w:rFonts w:asciiTheme="majorHAnsi" w:eastAsiaTheme="majorEastAsia" w:hAnsiTheme="majorHAnsi" w:cstheme="majorBidi"/>
      <w:color w:val="1F3763" w:themeColor="accent1" w:themeShade="7F"/>
    </w:rPr>
  </w:style>
  <w:style w:type="paragraph" w:styleId="Plattetekst">
    <w:name w:val="Body Text"/>
    <w:basedOn w:val="Standaard"/>
    <w:link w:val="PlattetekstChar"/>
    <w:uiPriority w:val="1"/>
    <w:qFormat/>
    <w:rsid w:val="000C336C"/>
    <w:pPr>
      <w:widowControl w:val="0"/>
      <w:autoSpaceDE w:val="0"/>
      <w:autoSpaceDN w:val="0"/>
      <w:ind w:left="543"/>
    </w:pPr>
    <w:rPr>
      <w:rFonts w:ascii="Calibri" w:eastAsia="Calibri" w:hAnsi="Calibri" w:cs="Calibri"/>
      <w:sz w:val="22"/>
      <w:szCs w:val="22"/>
    </w:rPr>
  </w:style>
  <w:style w:type="character" w:customStyle="1" w:styleId="PlattetekstChar">
    <w:name w:val="Platte tekst Char"/>
    <w:basedOn w:val="Standaardalinea-lettertype"/>
    <w:link w:val="Plattetekst"/>
    <w:uiPriority w:val="1"/>
    <w:rsid w:val="000C336C"/>
    <w:rPr>
      <w:rFonts w:ascii="Calibri" w:eastAsia="Calibri" w:hAnsi="Calibri" w:cs="Calibri"/>
      <w:sz w:val="22"/>
      <w:szCs w:val="22"/>
    </w:rPr>
  </w:style>
  <w:style w:type="paragraph" w:styleId="Titel">
    <w:name w:val="Title"/>
    <w:basedOn w:val="Standaard"/>
    <w:link w:val="TitelChar"/>
    <w:uiPriority w:val="1"/>
    <w:qFormat/>
    <w:rsid w:val="00B9611B"/>
    <w:pPr>
      <w:widowControl w:val="0"/>
      <w:autoSpaceDE w:val="0"/>
      <w:autoSpaceDN w:val="0"/>
      <w:spacing w:before="15" w:line="391" w:lineRule="exact"/>
      <w:ind w:left="115"/>
    </w:pPr>
    <w:rPr>
      <w:rFonts w:ascii="Calibri" w:eastAsia="Calibri" w:hAnsi="Calibri" w:cs="Calibri"/>
      <w:b/>
      <w:bCs/>
      <w:sz w:val="32"/>
      <w:szCs w:val="32"/>
    </w:rPr>
  </w:style>
  <w:style w:type="character" w:customStyle="1" w:styleId="TitelChar">
    <w:name w:val="Titel Char"/>
    <w:basedOn w:val="Standaardalinea-lettertype"/>
    <w:link w:val="Titel"/>
    <w:uiPriority w:val="1"/>
    <w:rsid w:val="00B9611B"/>
    <w:rPr>
      <w:rFonts w:ascii="Calibri" w:eastAsia="Calibri" w:hAnsi="Calibri" w:cs="Calibri"/>
      <w:b/>
      <w:bCs/>
      <w:sz w:val="32"/>
      <w:szCs w:val="32"/>
    </w:rPr>
  </w:style>
  <w:style w:type="paragraph" w:styleId="Geenafstand">
    <w:name w:val="No Spacing"/>
    <w:link w:val="GeenafstandChar"/>
    <w:uiPriority w:val="1"/>
    <w:qFormat/>
    <w:rsid w:val="00B9611B"/>
    <w:pPr>
      <w:widowControl w:val="0"/>
      <w:autoSpaceDE w:val="0"/>
      <w:autoSpaceDN w:val="0"/>
    </w:pPr>
    <w:rPr>
      <w:rFonts w:ascii="Calibri" w:eastAsia="Calibri" w:hAnsi="Calibri" w:cs="Calibri"/>
      <w:sz w:val="22"/>
      <w:szCs w:val="22"/>
    </w:rPr>
  </w:style>
  <w:style w:type="paragraph" w:styleId="Voettekst">
    <w:name w:val="footer"/>
    <w:basedOn w:val="Standaard"/>
    <w:link w:val="VoettekstChar"/>
    <w:uiPriority w:val="99"/>
    <w:unhideWhenUsed/>
    <w:rsid w:val="009423DB"/>
    <w:pPr>
      <w:tabs>
        <w:tab w:val="center" w:pos="4536"/>
        <w:tab w:val="right" w:pos="9072"/>
      </w:tabs>
    </w:pPr>
  </w:style>
  <w:style w:type="character" w:customStyle="1" w:styleId="VoettekstChar">
    <w:name w:val="Voettekst Char"/>
    <w:basedOn w:val="Standaardalinea-lettertype"/>
    <w:link w:val="Voettekst"/>
    <w:uiPriority w:val="99"/>
    <w:rsid w:val="009423DB"/>
  </w:style>
  <w:style w:type="character" w:styleId="Paginanummer">
    <w:name w:val="page number"/>
    <w:basedOn w:val="Standaardalinea-lettertype"/>
    <w:uiPriority w:val="99"/>
    <w:semiHidden/>
    <w:unhideWhenUsed/>
    <w:rsid w:val="009423DB"/>
  </w:style>
  <w:style w:type="paragraph" w:styleId="Koptekst">
    <w:name w:val="header"/>
    <w:basedOn w:val="Standaard"/>
    <w:link w:val="KoptekstChar"/>
    <w:uiPriority w:val="99"/>
    <w:unhideWhenUsed/>
    <w:rsid w:val="009423DB"/>
    <w:pPr>
      <w:tabs>
        <w:tab w:val="center" w:pos="4536"/>
        <w:tab w:val="right" w:pos="9072"/>
      </w:tabs>
    </w:pPr>
  </w:style>
  <w:style w:type="character" w:customStyle="1" w:styleId="KoptekstChar">
    <w:name w:val="Koptekst Char"/>
    <w:basedOn w:val="Standaardalinea-lettertype"/>
    <w:link w:val="Koptekst"/>
    <w:uiPriority w:val="99"/>
    <w:rsid w:val="009423DB"/>
  </w:style>
  <w:style w:type="character" w:styleId="Verwijzingopmerking">
    <w:name w:val="annotation reference"/>
    <w:basedOn w:val="Standaardalinea-lettertype"/>
    <w:uiPriority w:val="99"/>
    <w:semiHidden/>
    <w:unhideWhenUsed/>
    <w:rsid w:val="005C1F52"/>
    <w:rPr>
      <w:sz w:val="16"/>
      <w:szCs w:val="16"/>
    </w:rPr>
  </w:style>
  <w:style w:type="paragraph" w:styleId="Tekstopmerking">
    <w:name w:val="annotation text"/>
    <w:basedOn w:val="Standaard"/>
    <w:link w:val="TekstopmerkingChar"/>
    <w:uiPriority w:val="99"/>
    <w:semiHidden/>
    <w:unhideWhenUsed/>
    <w:rsid w:val="005C1F52"/>
    <w:rPr>
      <w:sz w:val="20"/>
      <w:szCs w:val="20"/>
    </w:rPr>
  </w:style>
  <w:style w:type="character" w:customStyle="1" w:styleId="TekstopmerkingChar">
    <w:name w:val="Tekst opmerking Char"/>
    <w:basedOn w:val="Standaardalinea-lettertype"/>
    <w:link w:val="Tekstopmerking"/>
    <w:uiPriority w:val="99"/>
    <w:semiHidden/>
    <w:rsid w:val="005C1F52"/>
    <w:rPr>
      <w:sz w:val="20"/>
      <w:szCs w:val="20"/>
    </w:rPr>
  </w:style>
  <w:style w:type="paragraph" w:styleId="Onderwerpvanopmerking">
    <w:name w:val="annotation subject"/>
    <w:basedOn w:val="Tekstopmerking"/>
    <w:next w:val="Tekstopmerking"/>
    <w:link w:val="OnderwerpvanopmerkingChar"/>
    <w:uiPriority w:val="99"/>
    <w:semiHidden/>
    <w:unhideWhenUsed/>
    <w:rsid w:val="005C1F52"/>
    <w:rPr>
      <w:b/>
      <w:bCs/>
    </w:rPr>
  </w:style>
  <w:style w:type="character" w:customStyle="1" w:styleId="OnderwerpvanopmerkingChar">
    <w:name w:val="Onderwerp van opmerking Char"/>
    <w:basedOn w:val="TekstopmerkingChar"/>
    <w:link w:val="Onderwerpvanopmerking"/>
    <w:uiPriority w:val="99"/>
    <w:semiHidden/>
    <w:rsid w:val="005C1F52"/>
    <w:rPr>
      <w:b/>
      <w:bCs/>
      <w:sz w:val="20"/>
      <w:szCs w:val="20"/>
    </w:rPr>
  </w:style>
  <w:style w:type="paragraph" w:styleId="Ballontekst">
    <w:name w:val="Balloon Text"/>
    <w:basedOn w:val="Standaard"/>
    <w:link w:val="BallontekstChar"/>
    <w:uiPriority w:val="99"/>
    <w:semiHidden/>
    <w:unhideWhenUsed/>
    <w:rsid w:val="005C1F5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1F52"/>
    <w:rPr>
      <w:rFonts w:ascii="Segoe UI" w:hAnsi="Segoe UI" w:cs="Segoe UI"/>
      <w:sz w:val="18"/>
      <w:szCs w:val="18"/>
    </w:rPr>
  </w:style>
  <w:style w:type="character" w:customStyle="1" w:styleId="GeenafstandChar">
    <w:name w:val="Geen afstand Char"/>
    <w:basedOn w:val="Standaardalinea-lettertype"/>
    <w:link w:val="Geenafstand"/>
    <w:uiPriority w:val="1"/>
    <w:rsid w:val="00A06E5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309270">
      <w:bodyDiv w:val="1"/>
      <w:marLeft w:val="0"/>
      <w:marRight w:val="0"/>
      <w:marTop w:val="0"/>
      <w:marBottom w:val="0"/>
      <w:divBdr>
        <w:top w:val="none" w:sz="0" w:space="0" w:color="auto"/>
        <w:left w:val="none" w:sz="0" w:space="0" w:color="auto"/>
        <w:bottom w:val="none" w:sz="0" w:space="0" w:color="auto"/>
        <w:right w:val="none" w:sz="0" w:space="0" w:color="auto"/>
      </w:divBdr>
    </w:div>
    <w:div w:id="194329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4931E-7A4A-4743-AD12-77CEC241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3376</Words>
  <Characters>18570</Characters>
  <Application>Microsoft Office Word</Application>
  <DocSecurity>0</DocSecurity>
  <Lines>154</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van Heerde | vanHeerde Arbeidsrecht</dc:creator>
  <cp:keywords/>
  <dc:description/>
  <cp:lastModifiedBy>Brigitte van Heerde</cp:lastModifiedBy>
  <cp:revision>12</cp:revision>
  <cp:lastPrinted>2021-03-16T13:06:00Z</cp:lastPrinted>
  <dcterms:created xsi:type="dcterms:W3CDTF">2021-05-10T07:47:00Z</dcterms:created>
  <dcterms:modified xsi:type="dcterms:W3CDTF">2021-09-15T10:18:00Z</dcterms:modified>
</cp:coreProperties>
</file>