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2525" w:rsidRPr="00072525" w:rsidRDefault="00CC64B5" w:rsidP="002C7E0A">
      <w:pPr>
        <w:jc w:val="right"/>
        <w:rPr>
          <w:b/>
          <w:sz w:val="32"/>
          <w:szCs w:val="32"/>
        </w:rPr>
      </w:pPr>
      <w:r>
        <w:fldChar w:fldCharType="begin"/>
      </w:r>
      <w:r>
        <w:instrText xml:space="preserve"> HYPERLINK "http://www.afi.wur.nl" </w:instrText>
      </w:r>
      <w:r>
        <w:fldChar w:fldCharType="separate"/>
      </w:r>
      <w:r w:rsidR="00072525" w:rsidRPr="00072525">
        <w:rPr>
          <w:rStyle w:val="Hyperlink"/>
          <w:b/>
          <w:sz w:val="32"/>
          <w:szCs w:val="32"/>
        </w:rPr>
        <w:t>www.afi.wur.nl</w:t>
      </w:r>
      <w:r>
        <w:rPr>
          <w:rStyle w:val="Hyperlink"/>
          <w:b/>
          <w:sz w:val="32"/>
          <w:szCs w:val="32"/>
        </w:rPr>
        <w:fldChar w:fldCharType="end"/>
      </w:r>
    </w:p>
    <w:p w:rsidR="00191AAE" w:rsidRPr="009F06AD" w:rsidRDefault="008748F3" w:rsidP="00CE1B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THESIS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C7E0A" w:rsidTr="002C7E0A">
        <w:tc>
          <w:tcPr>
            <w:tcW w:w="2235" w:type="dxa"/>
          </w:tcPr>
          <w:p w:rsidR="002C7E0A" w:rsidRPr="002306DE" w:rsidRDefault="002C7E0A" w:rsidP="002C7E0A">
            <w:pPr>
              <w:rPr>
                <w:b/>
              </w:rPr>
            </w:pPr>
            <w:r w:rsidRPr="002306DE">
              <w:rPr>
                <w:b/>
              </w:rPr>
              <w:t>TITLE</w:t>
            </w:r>
          </w:p>
        </w:tc>
        <w:tc>
          <w:tcPr>
            <w:tcW w:w="7007" w:type="dxa"/>
          </w:tcPr>
          <w:p w:rsidR="002C7E0A" w:rsidRPr="00CE1B2E" w:rsidRDefault="002D577B" w:rsidP="00CC64B5">
            <w:pPr>
              <w:rPr>
                <w:b/>
                <w:sz w:val="20"/>
                <w:szCs w:val="20"/>
              </w:rPr>
            </w:pPr>
            <w:r w:rsidRPr="00CE1B2E">
              <w:rPr>
                <w:b/>
                <w:sz w:val="20"/>
                <w:szCs w:val="20"/>
              </w:rPr>
              <w:t xml:space="preserve">Biological control of </w:t>
            </w:r>
            <w:proofErr w:type="spellStart"/>
            <w:r w:rsidRPr="00CE1B2E">
              <w:rPr>
                <w:b/>
                <w:i/>
                <w:sz w:val="20"/>
                <w:szCs w:val="20"/>
              </w:rPr>
              <w:t>Saprolegnia</w:t>
            </w:r>
            <w:proofErr w:type="spellEnd"/>
            <w:r w:rsidRPr="00CE1B2E">
              <w:rPr>
                <w:b/>
                <w:sz w:val="20"/>
                <w:szCs w:val="20"/>
              </w:rPr>
              <w:t xml:space="preserve"> infection in </w:t>
            </w:r>
            <w:proofErr w:type="spellStart"/>
            <w:r w:rsidRPr="00CE1B2E">
              <w:rPr>
                <w:b/>
                <w:sz w:val="20"/>
                <w:szCs w:val="20"/>
              </w:rPr>
              <w:t>salmonid</w:t>
            </w:r>
            <w:proofErr w:type="spellEnd"/>
            <w:r w:rsidRPr="00CE1B2E">
              <w:rPr>
                <w:b/>
                <w:sz w:val="20"/>
                <w:szCs w:val="20"/>
              </w:rPr>
              <w:t xml:space="preserve"> aquaculture</w:t>
            </w:r>
          </w:p>
        </w:tc>
      </w:tr>
      <w:tr w:rsidR="00213435" w:rsidTr="002C7E0A">
        <w:tc>
          <w:tcPr>
            <w:tcW w:w="2235" w:type="dxa"/>
          </w:tcPr>
          <w:p w:rsidR="00213435" w:rsidRDefault="00213435" w:rsidP="002C7E0A">
            <w:r>
              <w:t>RESEARCH QUESTION</w:t>
            </w:r>
          </w:p>
        </w:tc>
        <w:tc>
          <w:tcPr>
            <w:tcW w:w="7007" w:type="dxa"/>
          </w:tcPr>
          <w:p w:rsidR="00213435" w:rsidRPr="00CE1B2E" w:rsidRDefault="00CE1B2E" w:rsidP="002C7E0A">
            <w:pPr>
              <w:rPr>
                <w:sz w:val="20"/>
                <w:szCs w:val="20"/>
              </w:rPr>
            </w:pPr>
            <w:r w:rsidRPr="00CE1B2E">
              <w:rPr>
                <w:sz w:val="20"/>
                <w:szCs w:val="20"/>
              </w:rPr>
              <w:t xml:space="preserve">To develop biologically-based strategies for management, prophylaxis and treatment of </w:t>
            </w:r>
            <w:proofErr w:type="spellStart"/>
            <w:r w:rsidRPr="00CE1B2E">
              <w:rPr>
                <w:sz w:val="20"/>
                <w:szCs w:val="20"/>
              </w:rPr>
              <w:t>Saprolegniosis</w:t>
            </w:r>
            <w:proofErr w:type="spellEnd"/>
            <w:r w:rsidRPr="00CE1B2E">
              <w:rPr>
                <w:sz w:val="20"/>
                <w:szCs w:val="20"/>
              </w:rPr>
              <w:t xml:space="preserve"> in aquaculture</w:t>
            </w:r>
          </w:p>
        </w:tc>
      </w:tr>
      <w:tr w:rsidR="002C7E0A" w:rsidRPr="003B5F55" w:rsidTr="002C7E0A">
        <w:tc>
          <w:tcPr>
            <w:tcW w:w="2235" w:type="dxa"/>
          </w:tcPr>
          <w:p w:rsidR="002C7E0A" w:rsidRDefault="002C7E0A" w:rsidP="002C7E0A">
            <w:r>
              <w:t>SUPERVISOR</w:t>
            </w:r>
            <w:r w:rsidR="00CE1B2E">
              <w:t>/ Contact</w:t>
            </w:r>
          </w:p>
        </w:tc>
        <w:tc>
          <w:tcPr>
            <w:tcW w:w="7007" w:type="dxa"/>
          </w:tcPr>
          <w:p w:rsidR="002C7E0A" w:rsidRPr="00CE1B2E" w:rsidRDefault="00CE1B2E" w:rsidP="002C7E0A">
            <w:pPr>
              <w:rPr>
                <w:sz w:val="20"/>
                <w:szCs w:val="20"/>
              </w:rPr>
            </w:pPr>
            <w:r w:rsidRPr="00CE1B2E">
              <w:rPr>
                <w:sz w:val="20"/>
                <w:szCs w:val="20"/>
              </w:rPr>
              <w:t xml:space="preserve">Yiying Liu: </w:t>
            </w:r>
            <w:hyperlink r:id="rId5" w:history="1">
              <w:r w:rsidRPr="00CE1B2E">
                <w:rPr>
                  <w:rStyle w:val="Hyperlink"/>
                  <w:sz w:val="20"/>
                  <w:szCs w:val="20"/>
                </w:rPr>
                <w:t>yiying.liu@wur.nl</w:t>
              </w:r>
            </w:hyperlink>
          </w:p>
          <w:p w:rsidR="00CE1B2E" w:rsidRPr="00CE1B2E" w:rsidRDefault="00CE1B2E" w:rsidP="002C7E0A">
            <w:pPr>
              <w:rPr>
                <w:sz w:val="20"/>
                <w:szCs w:val="20"/>
                <w:lang w:val="nl-NL"/>
              </w:rPr>
            </w:pPr>
            <w:r w:rsidRPr="00CE1B2E">
              <w:rPr>
                <w:sz w:val="20"/>
                <w:szCs w:val="20"/>
                <w:lang w:val="nl-NL"/>
              </w:rPr>
              <w:t xml:space="preserve">Jos Raaijmakers: </w:t>
            </w:r>
            <w:hyperlink r:id="rId6" w:history="1">
              <w:r w:rsidRPr="00CE1B2E">
                <w:rPr>
                  <w:rStyle w:val="Hyperlink"/>
                  <w:sz w:val="20"/>
                  <w:szCs w:val="20"/>
                  <w:lang w:val="nl-NL"/>
                </w:rPr>
                <w:t>jos.raaijmakers@wur.nl</w:t>
              </w:r>
            </w:hyperlink>
          </w:p>
          <w:p w:rsidR="00CE1B2E" w:rsidRPr="00CE1B2E" w:rsidRDefault="00CE1B2E" w:rsidP="002C7E0A">
            <w:pPr>
              <w:rPr>
                <w:lang w:val="nl-NL"/>
              </w:rPr>
            </w:pPr>
          </w:p>
        </w:tc>
      </w:tr>
      <w:tr w:rsidR="002C7E0A" w:rsidTr="002C7E0A">
        <w:tc>
          <w:tcPr>
            <w:tcW w:w="2235" w:type="dxa"/>
          </w:tcPr>
          <w:p w:rsidR="002C7E0A" w:rsidRDefault="002C7E0A" w:rsidP="002C7E0A">
            <w:r>
              <w:t>LOCATION</w:t>
            </w:r>
          </w:p>
        </w:tc>
        <w:tc>
          <w:tcPr>
            <w:tcW w:w="7007" w:type="dxa"/>
          </w:tcPr>
          <w:p w:rsidR="002C7E0A" w:rsidRPr="00CE1B2E" w:rsidRDefault="003B5F55" w:rsidP="002C7E0A">
            <w:pPr>
              <w:rPr>
                <w:sz w:val="20"/>
                <w:szCs w:val="20"/>
              </w:rPr>
            </w:pPr>
            <w:r w:rsidRPr="003B5F55">
              <w:rPr>
                <w:sz w:val="20"/>
                <w:szCs w:val="20"/>
              </w:rPr>
              <w:t>Aquatic Research Facility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Carus</w:t>
            </w:r>
            <w:proofErr w:type="spellEnd"/>
            <w:r>
              <w:rPr>
                <w:sz w:val="20"/>
                <w:szCs w:val="20"/>
              </w:rPr>
              <w:t xml:space="preserve"> building, Wageningen University</w:t>
            </w:r>
          </w:p>
        </w:tc>
      </w:tr>
      <w:tr w:rsidR="002C7E0A" w:rsidTr="002C7E0A">
        <w:tc>
          <w:tcPr>
            <w:tcW w:w="2235" w:type="dxa"/>
          </w:tcPr>
          <w:p w:rsidR="002C7E0A" w:rsidRDefault="002C7E0A" w:rsidP="002C7E0A">
            <w:r>
              <w:t>PERIOD</w:t>
            </w:r>
          </w:p>
        </w:tc>
        <w:tc>
          <w:tcPr>
            <w:tcW w:w="7007" w:type="dxa"/>
          </w:tcPr>
          <w:p w:rsidR="002C7E0A" w:rsidRPr="00CE1B2E" w:rsidRDefault="003B5F55" w:rsidP="002C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Dec. 2013 or Jan. 2014 to May 2014</w:t>
            </w:r>
          </w:p>
        </w:tc>
      </w:tr>
      <w:tr w:rsidR="002306DE" w:rsidTr="00414BE8">
        <w:tc>
          <w:tcPr>
            <w:tcW w:w="9242" w:type="dxa"/>
            <w:gridSpan w:val="2"/>
          </w:tcPr>
          <w:p w:rsidR="002306DE" w:rsidRPr="00CA7B08" w:rsidRDefault="002306DE" w:rsidP="002306DE">
            <w:pPr>
              <w:rPr>
                <w:sz w:val="20"/>
                <w:szCs w:val="20"/>
              </w:rPr>
            </w:pPr>
            <w:r w:rsidRPr="002306DE">
              <w:rPr>
                <w:color w:val="0070C0"/>
                <w:u w:val="single"/>
              </w:rPr>
              <w:t>LINK FOR MORE INFORMATION</w:t>
            </w:r>
            <w:r>
              <w:t xml:space="preserve">  </w:t>
            </w:r>
            <w:r w:rsidRPr="001F11CA">
              <w:rPr>
                <w:color w:val="0070C0"/>
                <w:sz w:val="20"/>
                <w:szCs w:val="20"/>
              </w:rPr>
              <w:t xml:space="preserve">LINK IS MADE BY AFI SECRETARIAT! </w:t>
            </w:r>
          </w:p>
        </w:tc>
      </w:tr>
    </w:tbl>
    <w:p w:rsidR="00CE1B2E" w:rsidRDefault="00CE1B2E" w:rsidP="00CE1B2E">
      <w:pPr>
        <w:spacing w:after="0"/>
        <w:rPr>
          <w:b/>
          <w:sz w:val="20"/>
          <w:szCs w:val="20"/>
        </w:rPr>
      </w:pPr>
    </w:p>
    <w:p w:rsidR="00F05273" w:rsidRPr="009F06AD" w:rsidRDefault="00CE1B2E" w:rsidP="00CE1B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F05273" w:rsidRPr="009F06AD">
        <w:rPr>
          <w:b/>
          <w:sz w:val="20"/>
          <w:szCs w:val="20"/>
        </w:rPr>
        <w:t>ORE INFORMATION</w:t>
      </w:r>
      <w:r w:rsidR="008E50B6">
        <w:rPr>
          <w:b/>
          <w:sz w:val="20"/>
          <w:szCs w:val="20"/>
        </w:rPr>
        <w:t xml:space="preserve"> 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5273" w:rsidRPr="00F05273" w:rsidTr="00F05273">
        <w:tc>
          <w:tcPr>
            <w:tcW w:w="9242" w:type="dxa"/>
          </w:tcPr>
          <w:p w:rsidR="00F05273" w:rsidRPr="00F05273" w:rsidRDefault="002306DE" w:rsidP="00F05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DESCRIPTION</w:t>
            </w:r>
          </w:p>
        </w:tc>
      </w:tr>
      <w:tr w:rsidR="00F05273" w:rsidRPr="00F05273" w:rsidTr="00F05273">
        <w:tc>
          <w:tcPr>
            <w:tcW w:w="9242" w:type="dxa"/>
          </w:tcPr>
          <w:p w:rsidR="00F05273" w:rsidRPr="00CE1B2E" w:rsidRDefault="00F05273" w:rsidP="00F05273">
            <w:pPr>
              <w:rPr>
                <w:sz w:val="20"/>
                <w:szCs w:val="20"/>
              </w:rPr>
            </w:pPr>
          </w:p>
          <w:p w:rsidR="00F05273" w:rsidRPr="00CE1B2E" w:rsidRDefault="00CE1B2E" w:rsidP="00CE1B2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E1B2E">
              <w:rPr>
                <w:sz w:val="20"/>
                <w:szCs w:val="20"/>
              </w:rPr>
              <w:t>Saprolegniosis</w:t>
            </w:r>
            <w:proofErr w:type="spellEnd"/>
            <w:r w:rsidRPr="00CE1B2E">
              <w:rPr>
                <w:sz w:val="20"/>
                <w:szCs w:val="20"/>
              </w:rPr>
              <w:t xml:space="preserve"> is a devastating </w:t>
            </w:r>
            <w:proofErr w:type="spellStart"/>
            <w:r w:rsidRPr="00CE1B2E">
              <w:rPr>
                <w:sz w:val="20"/>
                <w:szCs w:val="20"/>
              </w:rPr>
              <w:t>oomycete</w:t>
            </w:r>
            <w:proofErr w:type="spellEnd"/>
            <w:r w:rsidRPr="00CE1B2E">
              <w:rPr>
                <w:sz w:val="20"/>
                <w:szCs w:val="20"/>
              </w:rPr>
              <w:t xml:space="preserve"> disease of fish and amphibians</w:t>
            </w:r>
            <w:r w:rsidRPr="00CE1B2E">
              <w:rPr>
                <w:sz w:val="20"/>
                <w:szCs w:val="20"/>
                <w:vertAlign w:val="superscript"/>
              </w:rPr>
              <w:t>1</w:t>
            </w:r>
            <w:r w:rsidRPr="00CE1B2E">
              <w:rPr>
                <w:sz w:val="20"/>
                <w:szCs w:val="20"/>
              </w:rPr>
              <w:t xml:space="preserve">, causing substantial economic and environmental damage in aquaculture and natural ecosystems. The causal agent of </w:t>
            </w:r>
            <w:proofErr w:type="spellStart"/>
            <w:r w:rsidRPr="00CE1B2E">
              <w:rPr>
                <w:sz w:val="20"/>
                <w:szCs w:val="20"/>
              </w:rPr>
              <w:t>Saprolegniosis</w:t>
            </w:r>
            <w:proofErr w:type="spellEnd"/>
            <w:r w:rsidRPr="00CE1B2E">
              <w:rPr>
                <w:sz w:val="20"/>
                <w:szCs w:val="20"/>
              </w:rPr>
              <w:t xml:space="preserve"> is </w:t>
            </w:r>
            <w:proofErr w:type="spellStart"/>
            <w:r w:rsidRPr="00CE1B2E">
              <w:rPr>
                <w:i/>
                <w:sz w:val="20"/>
                <w:szCs w:val="20"/>
              </w:rPr>
              <w:t>Saprolegnia</w:t>
            </w:r>
            <w:proofErr w:type="spellEnd"/>
            <w:r w:rsidRPr="00CE1B2E">
              <w:rPr>
                <w:i/>
                <w:sz w:val="20"/>
                <w:szCs w:val="20"/>
              </w:rPr>
              <w:t xml:space="preserve"> </w:t>
            </w:r>
            <w:r w:rsidRPr="00CE1B2E">
              <w:rPr>
                <w:sz w:val="20"/>
                <w:szCs w:val="20"/>
              </w:rPr>
              <w:t>species, including</w:t>
            </w:r>
            <w:r w:rsidRPr="00CE1B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1B2E">
              <w:rPr>
                <w:i/>
                <w:sz w:val="20"/>
                <w:szCs w:val="20"/>
              </w:rPr>
              <w:t>Saprolegnia</w:t>
            </w:r>
            <w:proofErr w:type="spellEnd"/>
            <w:r w:rsidRPr="00CE1B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E1B2E">
              <w:rPr>
                <w:i/>
                <w:sz w:val="20"/>
                <w:szCs w:val="20"/>
              </w:rPr>
              <w:t>parasitica</w:t>
            </w:r>
            <w:proofErr w:type="spellEnd"/>
            <w:r w:rsidRPr="00CE1B2E">
              <w:rPr>
                <w:sz w:val="20"/>
                <w:szCs w:val="20"/>
              </w:rPr>
              <w:t xml:space="preserve"> and </w:t>
            </w:r>
            <w:r w:rsidRPr="00CE1B2E">
              <w:rPr>
                <w:i/>
                <w:sz w:val="20"/>
                <w:szCs w:val="20"/>
              </w:rPr>
              <w:t xml:space="preserve">S. </w:t>
            </w:r>
            <w:proofErr w:type="spellStart"/>
            <w:r w:rsidRPr="00CE1B2E">
              <w:rPr>
                <w:i/>
                <w:sz w:val="20"/>
                <w:szCs w:val="20"/>
              </w:rPr>
              <w:t>diclina</w:t>
            </w:r>
            <w:proofErr w:type="spellEnd"/>
            <w:r w:rsidRPr="00CE1B2E">
              <w:rPr>
                <w:i/>
                <w:sz w:val="20"/>
                <w:szCs w:val="20"/>
              </w:rPr>
              <w:t xml:space="preserve">. </w:t>
            </w:r>
            <w:r w:rsidRPr="00CE1B2E">
              <w:rPr>
                <w:sz w:val="20"/>
                <w:szCs w:val="20"/>
              </w:rPr>
              <w:t xml:space="preserve">Current control measures include a limited number of chemotherapeutics and disinfectants, e.g. </w:t>
            </w:r>
            <w:proofErr w:type="spellStart"/>
            <w:r w:rsidRPr="00CE1B2E">
              <w:rPr>
                <w:sz w:val="20"/>
                <w:szCs w:val="20"/>
              </w:rPr>
              <w:t>bronopol</w:t>
            </w:r>
            <w:proofErr w:type="spellEnd"/>
            <w:r w:rsidRPr="00CE1B2E">
              <w:rPr>
                <w:sz w:val="20"/>
                <w:szCs w:val="20"/>
              </w:rPr>
              <w:t xml:space="preserve">, hydrogen peroxide and formaldehyde. However, these chemicals have adverse environmental effects or are not effective enough to fully control </w:t>
            </w:r>
            <w:proofErr w:type="spellStart"/>
            <w:r w:rsidRPr="00CE1B2E">
              <w:rPr>
                <w:sz w:val="20"/>
                <w:szCs w:val="20"/>
              </w:rPr>
              <w:t>Saprolegniosis</w:t>
            </w:r>
            <w:proofErr w:type="spellEnd"/>
            <w:r w:rsidRPr="00CE1B2E">
              <w:rPr>
                <w:sz w:val="20"/>
                <w:szCs w:val="20"/>
              </w:rPr>
              <w:t>. Hence, there is an urgent need to develop alternative and sustainable control mea</w:t>
            </w:r>
            <w:r>
              <w:rPr>
                <w:sz w:val="20"/>
                <w:szCs w:val="20"/>
              </w:rPr>
              <w:t xml:space="preserve">sures to combat </w:t>
            </w:r>
            <w:proofErr w:type="spellStart"/>
            <w:r>
              <w:rPr>
                <w:sz w:val="20"/>
                <w:szCs w:val="20"/>
              </w:rPr>
              <w:t>Saprolegniosis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F05273" w:rsidRPr="009F06AD" w:rsidRDefault="00F05273" w:rsidP="00F0527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5273" w:rsidRPr="00F05273" w:rsidTr="00F05273">
        <w:tc>
          <w:tcPr>
            <w:tcW w:w="9242" w:type="dxa"/>
          </w:tcPr>
          <w:p w:rsidR="00F05273" w:rsidRPr="00F05273" w:rsidRDefault="009044E2" w:rsidP="00F05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AIM/ SCOPE</w:t>
            </w:r>
          </w:p>
        </w:tc>
      </w:tr>
      <w:tr w:rsidR="00F05273" w:rsidRPr="00F05273" w:rsidTr="00F05273">
        <w:tc>
          <w:tcPr>
            <w:tcW w:w="9242" w:type="dxa"/>
          </w:tcPr>
          <w:p w:rsidR="00CE1B2E" w:rsidRPr="00CE1B2E" w:rsidRDefault="00CE1B2E" w:rsidP="00CE1B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1B2E">
              <w:rPr>
                <w:b/>
                <w:sz w:val="20"/>
                <w:szCs w:val="20"/>
              </w:rPr>
              <w:t>Materials and methods:</w:t>
            </w:r>
            <w:r w:rsidRPr="00CE1B2E">
              <w:rPr>
                <w:sz w:val="20"/>
                <w:szCs w:val="20"/>
              </w:rPr>
              <w:t xml:space="preserve"> Three bacterial isolates were isolated from salmon egg incubation water and salmon. These bacteria showed inhibitory activity against </w:t>
            </w:r>
            <w:proofErr w:type="spellStart"/>
            <w:r w:rsidRPr="00CE1B2E">
              <w:rPr>
                <w:i/>
                <w:sz w:val="20"/>
                <w:szCs w:val="20"/>
              </w:rPr>
              <w:t>Saprolegnia</w:t>
            </w:r>
            <w:proofErr w:type="spellEnd"/>
            <w:r w:rsidRPr="00CE1B2E">
              <w:rPr>
                <w:sz w:val="20"/>
                <w:szCs w:val="20"/>
              </w:rPr>
              <w:t xml:space="preserve"> </w:t>
            </w:r>
            <w:proofErr w:type="spellStart"/>
            <w:r w:rsidRPr="00CE1B2E">
              <w:rPr>
                <w:sz w:val="20"/>
                <w:szCs w:val="20"/>
              </w:rPr>
              <w:t>hyphal</w:t>
            </w:r>
            <w:proofErr w:type="spellEnd"/>
            <w:r w:rsidRPr="00CE1B2E">
              <w:rPr>
                <w:sz w:val="20"/>
                <w:szCs w:val="20"/>
              </w:rPr>
              <w:t xml:space="preserve"> growth </w:t>
            </w:r>
            <w:r w:rsidRPr="00CE1B2E">
              <w:rPr>
                <w:i/>
                <w:sz w:val="20"/>
                <w:szCs w:val="20"/>
              </w:rPr>
              <w:t>in vitro</w:t>
            </w:r>
            <w:r w:rsidRPr="00CE1B2E">
              <w:rPr>
                <w:sz w:val="20"/>
                <w:szCs w:val="20"/>
              </w:rPr>
              <w:t xml:space="preserve">. According to a preliminary </w:t>
            </w:r>
            <w:r w:rsidRPr="00CE1B2E">
              <w:rPr>
                <w:i/>
                <w:sz w:val="20"/>
                <w:szCs w:val="20"/>
              </w:rPr>
              <w:t>in vivo</w:t>
            </w:r>
            <w:r w:rsidRPr="00CE1B2E">
              <w:rPr>
                <w:sz w:val="20"/>
                <w:szCs w:val="20"/>
              </w:rPr>
              <w:t xml:space="preserve"> test, they showed protective activity on salmon eggs in the presence of </w:t>
            </w:r>
            <w:proofErr w:type="spellStart"/>
            <w:r w:rsidRPr="00CE1B2E">
              <w:rPr>
                <w:i/>
                <w:sz w:val="20"/>
                <w:szCs w:val="20"/>
              </w:rPr>
              <w:t>Saprolegnia</w:t>
            </w:r>
            <w:proofErr w:type="spellEnd"/>
            <w:r w:rsidRPr="00CE1B2E">
              <w:rPr>
                <w:sz w:val="20"/>
                <w:szCs w:val="20"/>
              </w:rPr>
              <w:t xml:space="preserve">. We will set up salmon egg experiments in the coming winter to test the activity of these isolates against </w:t>
            </w:r>
            <w:proofErr w:type="spellStart"/>
            <w:r w:rsidRPr="00CE1B2E">
              <w:rPr>
                <w:i/>
                <w:sz w:val="20"/>
                <w:szCs w:val="20"/>
              </w:rPr>
              <w:t>Saprolegnia</w:t>
            </w:r>
            <w:proofErr w:type="spellEnd"/>
            <w:r w:rsidRPr="00CE1B2E">
              <w:rPr>
                <w:sz w:val="20"/>
                <w:szCs w:val="20"/>
              </w:rPr>
              <w:t>. Furthermore, you will also test the activity of bioactive compounds (i.e. cyclic lipopeptides</w:t>
            </w:r>
            <w:r w:rsidRPr="00CE1B2E">
              <w:rPr>
                <w:sz w:val="20"/>
                <w:szCs w:val="20"/>
                <w:vertAlign w:val="superscript"/>
              </w:rPr>
              <w:t>2</w:t>
            </w:r>
            <w:r w:rsidRPr="00CE1B2E">
              <w:rPr>
                <w:sz w:val="20"/>
                <w:szCs w:val="20"/>
              </w:rPr>
              <w:t xml:space="preserve">) produced by beneficial bacteria. </w:t>
            </w:r>
          </w:p>
          <w:p w:rsidR="00CE1B2E" w:rsidRPr="00CE1B2E" w:rsidRDefault="00CE1B2E" w:rsidP="00CE1B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E1B2E">
              <w:rPr>
                <w:sz w:val="20"/>
                <w:szCs w:val="20"/>
              </w:rPr>
              <w:t>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CE1B2E" w:rsidRDefault="00CE1B2E" w:rsidP="00CE1B2E">
            <w:r>
              <w:t xml:space="preserve">References: </w:t>
            </w:r>
          </w:p>
          <w:p w:rsidR="00CE1B2E" w:rsidRDefault="00CE1B2E" w:rsidP="00CE1B2E">
            <w:r>
              <w:t xml:space="preserve">1. van West, P. </w:t>
            </w:r>
            <w:proofErr w:type="spellStart"/>
            <w:r w:rsidRPr="00BA39E5">
              <w:rPr>
                <w:i/>
              </w:rPr>
              <w:t>Saprolegnia</w:t>
            </w:r>
            <w:proofErr w:type="spellEnd"/>
            <w:r w:rsidRPr="00BA39E5">
              <w:rPr>
                <w:i/>
              </w:rPr>
              <w:t xml:space="preserve"> </w:t>
            </w:r>
            <w:proofErr w:type="spellStart"/>
            <w:r w:rsidRPr="00BA39E5">
              <w:rPr>
                <w:i/>
              </w:rPr>
              <w:t>parasitica</w:t>
            </w:r>
            <w:proofErr w:type="spellEnd"/>
            <w:r>
              <w:t xml:space="preserve">, an </w:t>
            </w:r>
            <w:proofErr w:type="spellStart"/>
            <w:r>
              <w:t>oomycete</w:t>
            </w:r>
            <w:proofErr w:type="spellEnd"/>
            <w:r>
              <w:t xml:space="preserve"> pathogen with a fishy appetite: new challenges for an old problem. Mycologist 20, 99-104 (2006).</w:t>
            </w:r>
          </w:p>
          <w:p w:rsidR="00F05273" w:rsidRPr="00F05273" w:rsidRDefault="00CE1B2E" w:rsidP="00CE1B2E">
            <w:pPr>
              <w:rPr>
                <w:sz w:val="20"/>
                <w:szCs w:val="20"/>
              </w:rPr>
            </w:pPr>
            <w:r>
              <w:t xml:space="preserve">2. van de Mortel, J. E., Ha, T., Govers, F. &amp; Raaijmakers, J. M. Cellular Responses of the Late Blight Pathogen </w:t>
            </w:r>
            <w:proofErr w:type="spellStart"/>
            <w:r w:rsidRPr="00BA39E5">
              <w:rPr>
                <w:i/>
              </w:rPr>
              <w:t>Phytophthora</w:t>
            </w:r>
            <w:proofErr w:type="spellEnd"/>
            <w:r w:rsidRPr="00BA39E5">
              <w:rPr>
                <w:i/>
              </w:rPr>
              <w:t xml:space="preserve"> </w:t>
            </w:r>
            <w:proofErr w:type="spellStart"/>
            <w:r w:rsidRPr="00BA39E5">
              <w:rPr>
                <w:i/>
              </w:rPr>
              <w:t>infestans</w:t>
            </w:r>
            <w:proofErr w:type="spellEnd"/>
            <w:r>
              <w:t xml:space="preserve"> to Cyclic </w:t>
            </w:r>
            <w:proofErr w:type="spellStart"/>
            <w:r>
              <w:t>Lipopeptide</w:t>
            </w:r>
            <w:proofErr w:type="spellEnd"/>
            <w:r>
              <w:t xml:space="preserve"> Surfactants and Their Dependence on G Proteins. Applied and Environmental Microbiology 75, 4950-4957 (2009)</w:t>
            </w:r>
          </w:p>
        </w:tc>
      </w:tr>
    </w:tbl>
    <w:p w:rsidR="00F05273" w:rsidRPr="009F06AD" w:rsidRDefault="00F05273" w:rsidP="00F0527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06AD" w:rsidRPr="00F05273" w:rsidTr="00CC64B5">
        <w:tc>
          <w:tcPr>
            <w:tcW w:w="9242" w:type="dxa"/>
            <w:tcBorders>
              <w:bottom w:val="single" w:sz="4" w:space="0" w:color="auto"/>
            </w:tcBorders>
          </w:tcPr>
          <w:p w:rsidR="009F06AD" w:rsidRPr="00F05273" w:rsidRDefault="009F06AD" w:rsidP="009F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</w:tr>
      <w:tr w:rsidR="009F06AD" w:rsidRPr="00F05273" w:rsidTr="00CC64B5">
        <w:tc>
          <w:tcPr>
            <w:tcW w:w="9242" w:type="dxa"/>
            <w:tcBorders>
              <w:bottom w:val="single" w:sz="4" w:space="0" w:color="auto"/>
            </w:tcBorders>
          </w:tcPr>
          <w:p w:rsidR="009F06AD" w:rsidRDefault="009F06AD" w:rsidP="009F06AD">
            <w:pPr>
              <w:rPr>
                <w:sz w:val="20"/>
                <w:szCs w:val="20"/>
              </w:rPr>
            </w:pPr>
          </w:p>
          <w:p w:rsidR="009F06AD" w:rsidRPr="00F05273" w:rsidRDefault="009F06AD" w:rsidP="009F06AD">
            <w:pPr>
              <w:rPr>
                <w:sz w:val="20"/>
                <w:szCs w:val="20"/>
              </w:rPr>
            </w:pPr>
          </w:p>
        </w:tc>
      </w:tr>
      <w:tr w:rsidR="00CC64B5" w:rsidRPr="00F05273" w:rsidTr="00CC64B5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4B5" w:rsidRDefault="00CC64B5" w:rsidP="009F06AD">
            <w:pPr>
              <w:rPr>
                <w:sz w:val="20"/>
                <w:szCs w:val="20"/>
              </w:rPr>
            </w:pPr>
          </w:p>
        </w:tc>
      </w:tr>
      <w:tr w:rsidR="009F06AD" w:rsidRPr="00F05273" w:rsidTr="00CC64B5">
        <w:tc>
          <w:tcPr>
            <w:tcW w:w="9242" w:type="dxa"/>
            <w:tcBorders>
              <w:top w:val="single" w:sz="4" w:space="0" w:color="auto"/>
            </w:tcBorders>
          </w:tcPr>
          <w:p w:rsidR="009F06AD" w:rsidRPr="00F05273" w:rsidRDefault="009F06AD" w:rsidP="009F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INFORMATION</w:t>
            </w:r>
          </w:p>
        </w:tc>
      </w:tr>
      <w:tr w:rsidR="009F06AD" w:rsidRPr="00F05273" w:rsidTr="009F06AD">
        <w:tc>
          <w:tcPr>
            <w:tcW w:w="9242" w:type="dxa"/>
          </w:tcPr>
          <w:p w:rsidR="009F06AD" w:rsidRPr="00F05273" w:rsidRDefault="009F06AD" w:rsidP="009F06AD">
            <w:pPr>
              <w:rPr>
                <w:sz w:val="20"/>
                <w:szCs w:val="20"/>
              </w:rPr>
            </w:pPr>
          </w:p>
        </w:tc>
      </w:tr>
    </w:tbl>
    <w:p w:rsidR="009F06AD" w:rsidRDefault="009F06AD" w:rsidP="00CE1B2E">
      <w:pPr>
        <w:rPr>
          <w:sz w:val="20"/>
          <w:szCs w:val="20"/>
        </w:rPr>
      </w:pPr>
    </w:p>
    <w:sectPr w:rsidR="009F06AD" w:rsidSect="002C7E0A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6C"/>
    <w:rsid w:val="000256E2"/>
    <w:rsid w:val="00072525"/>
    <w:rsid w:val="00191AAE"/>
    <w:rsid w:val="001F11CA"/>
    <w:rsid w:val="00213435"/>
    <w:rsid w:val="002306DE"/>
    <w:rsid w:val="002C7E0A"/>
    <w:rsid w:val="002D577B"/>
    <w:rsid w:val="00367928"/>
    <w:rsid w:val="003B5F55"/>
    <w:rsid w:val="00427253"/>
    <w:rsid w:val="0055788F"/>
    <w:rsid w:val="00576BCC"/>
    <w:rsid w:val="00587D2A"/>
    <w:rsid w:val="005A3B94"/>
    <w:rsid w:val="005B087C"/>
    <w:rsid w:val="005C20C2"/>
    <w:rsid w:val="005C2D6C"/>
    <w:rsid w:val="00611F56"/>
    <w:rsid w:val="00642196"/>
    <w:rsid w:val="007A52DF"/>
    <w:rsid w:val="008748F3"/>
    <w:rsid w:val="008E50B6"/>
    <w:rsid w:val="009044E2"/>
    <w:rsid w:val="009F06AD"/>
    <w:rsid w:val="00CA7B08"/>
    <w:rsid w:val="00CC64B5"/>
    <w:rsid w:val="00CE1B2E"/>
    <w:rsid w:val="00E44F68"/>
    <w:rsid w:val="00F0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7">
    <w:name w:val="content7"/>
    <w:basedOn w:val="DefaultParagraphFont"/>
    <w:rsid w:val="00E44F68"/>
    <w:rPr>
      <w:color w:val="68688B"/>
    </w:rPr>
  </w:style>
  <w:style w:type="character" w:styleId="Strong">
    <w:name w:val="Strong"/>
    <w:basedOn w:val="DefaultParagraphFont"/>
    <w:uiPriority w:val="22"/>
    <w:qFormat/>
    <w:rsid w:val="00E44F6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7">
    <w:name w:val="content7"/>
    <w:basedOn w:val="DefaultParagraphFont"/>
    <w:rsid w:val="00E44F68"/>
    <w:rPr>
      <w:color w:val="68688B"/>
    </w:rPr>
  </w:style>
  <w:style w:type="character" w:styleId="Strong">
    <w:name w:val="Strong"/>
    <w:basedOn w:val="DefaultParagraphFont"/>
    <w:uiPriority w:val="22"/>
    <w:qFormat/>
    <w:rsid w:val="00E44F6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.raaijmakers@wur.nl" TargetMode="External"/><Relationship Id="rId5" Type="http://schemas.openxmlformats.org/officeDocument/2006/relationships/hyperlink" Target="mailto:yiying.liu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Schlaman, Geertje</dc:creator>
  <cp:lastModifiedBy>Halman, Eugenia</cp:lastModifiedBy>
  <cp:revision>2</cp:revision>
  <cp:lastPrinted>2011-02-17T13:20:00Z</cp:lastPrinted>
  <dcterms:created xsi:type="dcterms:W3CDTF">2013-11-04T11:13:00Z</dcterms:created>
  <dcterms:modified xsi:type="dcterms:W3CDTF">2013-11-04T11:13:00Z</dcterms:modified>
</cp:coreProperties>
</file>